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Times New Roman" w:hAnsi="Times New Roman" w:eastAsia="宋体"/>
          <w:sz w:val="24"/>
          <w:szCs w:val="24"/>
          <w:lang w:eastAsia="zh-CN"/>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中共定西市委机构编制委员会办公室</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公开情况说明</w:t>
      </w: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eastAsia" w:ascii="方正小标宋简体" w:hAnsi="方正小标宋简体" w:eastAsia="方正小标宋简体" w:cs="方正小标宋简体"/>
          <w:sz w:val="44"/>
          <w:szCs w:val="24"/>
          <w:lang w:val="en-US" w:eastAsia="zh-CN"/>
        </w:rPr>
      </w:pPr>
      <w:r>
        <w:rPr>
          <w:rFonts w:hint="eastAsia" w:ascii="方正小标宋简体" w:hAnsi="方正小标宋简体" w:eastAsia="方正小标宋简体" w:cs="方正小标宋简体"/>
          <w:sz w:val="44"/>
          <w:szCs w:val="24"/>
          <w:lang w:val="en-US" w:eastAsia="zh-CN"/>
        </w:rPr>
        <w:t>2021年10月</w:t>
      </w:r>
    </w:p>
    <w:p>
      <w:pPr>
        <w:spacing w:before="100" w:beforeLines="0" w:after="100" w:afterLines="0"/>
        <w:jc w:val="center"/>
        <w:rPr>
          <w:rFonts w:hint="default" w:ascii="Times New Roman" w:hAnsi="Times New Roman" w:eastAsia="Times New Roman"/>
          <w:sz w:val="24"/>
          <w:szCs w:val="24"/>
        </w:rPr>
      </w:pPr>
    </w:p>
    <w:p>
      <w:pPr>
        <w:pStyle w:val="9"/>
        <w:shd w:val="clear" w:color="auto" w:fill="FFFFFF"/>
        <w:spacing w:line="580" w:lineRule="exact"/>
        <w:jc w:val="center"/>
        <w:rPr>
          <w:rFonts w:hint="eastAsia" w:ascii="方正小标宋简体" w:eastAsia="方正小标宋简体"/>
          <w:sz w:val="44"/>
          <w:szCs w:val="44"/>
        </w:rPr>
      </w:pPr>
    </w:p>
    <w:p>
      <w:pPr>
        <w:pStyle w:val="9"/>
        <w:shd w:val="clear" w:color="auto" w:fill="FFFFFF"/>
        <w:spacing w:line="580" w:lineRule="exact"/>
        <w:jc w:val="center"/>
        <w:rPr>
          <w:rFonts w:hint="eastAsia" w:ascii="方正小标宋简体" w:eastAsia="方正小标宋简体"/>
          <w:sz w:val="36"/>
          <w:szCs w:val="36"/>
          <w:lang w:eastAsia="zh-CN"/>
        </w:rPr>
      </w:pP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目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录</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第一部分  部门概括</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八、机关运行经费支出说明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九、政府采购支出说明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十、国有资产占用情况说明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十一、政府性基金预算财政拨款收支决算情况说明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十二、国有资本经营预算财政拨款支出情况说明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十三、预算绩效情况说明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第四部分  名词解释</w:t>
      </w:r>
    </w:p>
    <w:p>
      <w:pPr>
        <w:spacing w:line="580" w:lineRule="exact"/>
        <w:ind w:firstLine="640" w:firstLineChars="200"/>
        <w:rPr>
          <w:rFonts w:ascii="仿宋" w:hAnsi="仿宋" w:eastAsia="仿宋" w:cs="方正小标宋简体"/>
          <w:bCs/>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方正小标宋简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第一部分  部门概括</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一、部门职责</w:t>
      </w:r>
    </w:p>
    <w:p>
      <w:pPr>
        <w:spacing w:line="580" w:lineRule="exact"/>
        <w:ind w:firstLine="640"/>
        <w:rPr>
          <w:rFonts w:ascii="仿宋_GB2312" w:hAnsi="华文仿宋" w:eastAsia="仿宋_GB2312"/>
          <w:sz w:val="32"/>
          <w:szCs w:val="32"/>
        </w:rPr>
      </w:pPr>
      <w:bookmarkStart w:id="0" w:name="_Hlk21970042"/>
      <w:r>
        <w:rPr>
          <w:rFonts w:hint="eastAsia" w:ascii="仿宋_GB2312" w:hAnsi="华文仿宋" w:eastAsia="仿宋_GB2312"/>
          <w:sz w:val="32"/>
          <w:szCs w:val="32"/>
        </w:rPr>
        <w:t>1.贯彻执行党和国家关于行政管理体制改革、机构改革和机构编制管理的方针、政策和法规；拟定全市机构编制管理的规章制度草案和规范性文件；指导、协调全市各级行政管理体制改革和机构改革工作；拟定全市各级行政管理体制改革和机构改革的总体方案，审核市直各部门和县区机构改革方案。</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负责统一管理全市各级党政机关，人大、政协机关，法院、检察院机关，各民主党派和人民团体机关的机构设置、人员编制、人员机构比例和领导职数等机构编制工作；协调市直各部门之间、市直各部门与县区部门之间以及县区各部门之间的权责划分。</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负责审核审批市直各部门的职责配置、机构设置和人员编制；审核调整市、县、乡机构设置和人员编制总额；负责审核市政府派驻外地办事机构的机构编制；负责中央、省上下达的各类专项编制的分解和管理工作。</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4</w:t>
      </w:r>
      <w:r>
        <w:rPr>
          <w:rFonts w:ascii="仿宋_GB2312" w:hAnsi="华文仿宋" w:eastAsia="仿宋_GB2312"/>
          <w:sz w:val="32"/>
          <w:szCs w:val="32"/>
        </w:rPr>
        <w:t>.</w:t>
      </w:r>
      <w:r>
        <w:rPr>
          <w:rFonts w:hint="eastAsia" w:ascii="仿宋_GB2312" w:hAnsi="华文仿宋" w:eastAsia="仿宋_GB2312"/>
          <w:sz w:val="32"/>
          <w:szCs w:val="32"/>
        </w:rPr>
        <w:t>负责拟定全市事业单位管理体制改革和机构改革方案；审核调整市直事业单位的机构设置、人员编制、人员结构比例、领导职数及经费开支渠道；审核市、县区两级所属的副科级以上事业单位机构设置、人员编制和领导职数；指导县区事业单位管理体制改革和机构编制管理。</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5</w:t>
      </w:r>
      <w:r>
        <w:rPr>
          <w:rFonts w:ascii="仿宋_GB2312" w:hAnsi="华文仿宋" w:eastAsia="仿宋_GB2312"/>
          <w:sz w:val="32"/>
          <w:szCs w:val="32"/>
        </w:rPr>
        <w:t>.</w:t>
      </w:r>
      <w:r>
        <w:rPr>
          <w:rFonts w:hint="eastAsia" w:ascii="仿宋_GB2312" w:hAnsi="华文仿宋" w:eastAsia="仿宋_GB2312"/>
          <w:sz w:val="32"/>
          <w:szCs w:val="32"/>
        </w:rPr>
        <w:t>负责行政管理体制改革、机构改革和机构编制管理重大问题的综合调研和理论研究。</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监督检查市、县区各级机关事业单位“三定”规定、机构改革以及机构编制政策法规的贯彻落实和执行情况；负责全市机构编制的法制建设，建立健全机构编制部门与相关部门协调配合约束机制；负责机构编制违纪违规行为的预防和对举报案件的查处；负责全市机构编制考核评估工作。</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7</w:t>
      </w:r>
      <w:r>
        <w:rPr>
          <w:rFonts w:ascii="仿宋_GB2312" w:hAnsi="华文仿宋" w:eastAsia="仿宋_GB2312"/>
          <w:sz w:val="32"/>
          <w:szCs w:val="32"/>
        </w:rPr>
        <w:t>.</w:t>
      </w:r>
      <w:r>
        <w:rPr>
          <w:rFonts w:hint="eastAsia" w:ascii="仿宋_GB2312" w:hAnsi="华文仿宋" w:eastAsia="仿宋_GB2312"/>
          <w:sz w:val="32"/>
          <w:szCs w:val="32"/>
        </w:rPr>
        <w:t>负责拟定全市事业单位登记管理工作的有关规章制度；负责市直及经授权省上在市事业单位的登记管理和年检工作；指导检查县区事业单位登记管理工作，审核全市机关事业单位网上名称工作。</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8</w:t>
      </w:r>
      <w:r>
        <w:rPr>
          <w:rFonts w:ascii="仿宋_GB2312" w:hAnsi="华文仿宋" w:eastAsia="仿宋_GB2312"/>
          <w:sz w:val="32"/>
          <w:szCs w:val="32"/>
        </w:rPr>
        <w:t>.</w:t>
      </w:r>
      <w:r>
        <w:rPr>
          <w:rFonts w:hint="eastAsia" w:ascii="仿宋_GB2312" w:hAnsi="华文仿宋" w:eastAsia="仿宋_GB2312"/>
          <w:sz w:val="32"/>
          <w:szCs w:val="32"/>
        </w:rPr>
        <w:t>负责全市机构编制实名制管理工作；负责全市机构编制信息宣传和统计工作及机构编制部门自身建设工作。</w:t>
      </w:r>
    </w:p>
    <w:p>
      <w:pPr>
        <w:spacing w:line="580" w:lineRule="exact"/>
        <w:ind w:firstLine="640"/>
        <w:rPr>
          <w:rFonts w:ascii="仿宋_GB2312" w:hAnsi="华文仿宋" w:eastAsia="仿宋_GB2312"/>
          <w:sz w:val="32"/>
          <w:szCs w:val="32"/>
        </w:rPr>
      </w:pPr>
      <w:r>
        <w:rPr>
          <w:rFonts w:hint="eastAsia" w:ascii="仿宋_GB2312" w:hAnsi="华文仿宋" w:eastAsia="仿宋_GB2312"/>
          <w:sz w:val="32"/>
          <w:szCs w:val="32"/>
        </w:rPr>
        <w:t>9</w:t>
      </w:r>
      <w:r>
        <w:rPr>
          <w:rFonts w:ascii="仿宋_GB2312" w:hAnsi="华文仿宋" w:eastAsia="仿宋_GB2312"/>
          <w:sz w:val="32"/>
          <w:szCs w:val="32"/>
        </w:rPr>
        <w:t>.</w:t>
      </w:r>
      <w:r>
        <w:rPr>
          <w:rFonts w:hint="eastAsia" w:ascii="仿宋_GB2312" w:hAnsi="华文仿宋" w:eastAsia="仿宋_GB2312"/>
          <w:sz w:val="32"/>
          <w:szCs w:val="32"/>
        </w:rPr>
        <w:t>承办市委、市政府、市委编委和省委编办交办的其他工作。</w:t>
      </w:r>
    </w:p>
    <w:bookmarkEnd w:id="0"/>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二、机构设置</w:t>
      </w:r>
    </w:p>
    <w:p>
      <w:pPr>
        <w:spacing w:line="58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市委机构编制委员会办公室下设6个内设机构，即综合科、机构编制研究室、机关机构编制科、事业机构编制科、机构编制督查科（机构编制评审科）、市事业单位登记管理局（市党政群机关社会信用代码管理局）和办下属事业单位电子政务中心。</w:t>
      </w:r>
      <w:r>
        <w:rPr>
          <w:rFonts w:hint="eastAsia" w:ascii="仿宋_GB2312" w:hAnsi="华文仿宋" w:eastAsia="仿宋_GB2312"/>
          <w:sz w:val="32"/>
          <w:szCs w:val="32"/>
        </w:rPr>
        <w:t>市委编办有行政编制</w:t>
      </w:r>
      <w:r>
        <w:rPr>
          <w:rFonts w:ascii="仿宋_GB2312" w:hAnsi="华文仿宋" w:eastAsia="仿宋_GB2312"/>
          <w:sz w:val="32"/>
          <w:szCs w:val="32"/>
        </w:rPr>
        <w:t>20</w:t>
      </w:r>
      <w:r>
        <w:rPr>
          <w:rFonts w:hint="eastAsia" w:ascii="仿宋_GB2312" w:hAnsi="华文仿宋" w:eastAsia="仿宋_GB2312"/>
          <w:sz w:val="32"/>
          <w:szCs w:val="32"/>
        </w:rPr>
        <w:t>名，军转编制</w:t>
      </w:r>
      <w:r>
        <w:rPr>
          <w:rFonts w:ascii="仿宋_GB2312" w:hAnsi="华文仿宋" w:eastAsia="仿宋_GB2312"/>
          <w:sz w:val="32"/>
          <w:szCs w:val="32"/>
        </w:rPr>
        <w:t>2</w:t>
      </w:r>
      <w:r>
        <w:rPr>
          <w:rFonts w:hint="eastAsia" w:ascii="仿宋_GB2312" w:hAnsi="华文仿宋" w:eastAsia="仿宋_GB2312"/>
          <w:sz w:val="32"/>
          <w:szCs w:val="32"/>
        </w:rPr>
        <w:t>名，事业编制5名。实有在职人员2</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人（驻村帮扶人员3人），其中县处级干部</w:t>
      </w:r>
      <w:r>
        <w:rPr>
          <w:rFonts w:hint="eastAsia" w:ascii="仿宋_GB2312" w:hAnsi="华文仿宋" w:eastAsia="仿宋_GB2312"/>
          <w:sz w:val="32"/>
          <w:szCs w:val="32"/>
          <w:lang w:val="en-US" w:eastAsia="zh-CN"/>
        </w:rPr>
        <w:t>5</w:t>
      </w:r>
      <w:r>
        <w:rPr>
          <w:rFonts w:hint="eastAsia" w:ascii="仿宋_GB2312" w:hAnsi="华文仿宋" w:eastAsia="仿宋_GB2312"/>
          <w:sz w:val="32"/>
          <w:szCs w:val="32"/>
        </w:rPr>
        <w:t>人，科级干部1</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人，科员</w:t>
      </w:r>
      <w:r>
        <w:rPr>
          <w:rFonts w:hint="eastAsia" w:ascii="仿宋_GB2312" w:hAnsi="华文仿宋" w:eastAsia="仿宋_GB2312"/>
          <w:sz w:val="32"/>
          <w:szCs w:val="32"/>
          <w:lang w:eastAsia="zh-CN"/>
        </w:rPr>
        <w:t>（职员）</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人。退休干部3人(正县级2人，正科级1人)。</w:t>
      </w:r>
    </w:p>
    <w:p>
      <w:pPr>
        <w:pStyle w:val="13"/>
        <w:rPr>
          <w:rFonts w:hint="eastAsia"/>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第二部分  202</w:t>
      </w:r>
      <w:r>
        <w:rPr>
          <w:rFonts w:hint="eastAsia" w:ascii="仿宋_GB2312" w:hAnsi="仿宋_GB2312" w:eastAsia="仿宋_GB2312" w:cs="仿宋_GB2312"/>
          <w:b/>
          <w:bCs w:val="0"/>
          <w:sz w:val="32"/>
          <w:szCs w:val="32"/>
          <w:lang w:val="en-US"/>
        </w:rPr>
        <w:t>1</w:t>
      </w:r>
      <w:r>
        <w:rPr>
          <w:rFonts w:hint="eastAsia" w:ascii="仿宋_GB2312" w:hAnsi="仿宋_GB2312" w:eastAsia="仿宋_GB2312" w:cs="仿宋_GB2312"/>
          <w:b/>
          <w:bCs w:val="0"/>
          <w:sz w:val="32"/>
          <w:szCs w:val="32"/>
        </w:rPr>
        <w:t>年度部门决算表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经费支出决算表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八、政府性基金预算财政拨款收入支出决算表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没有相关</w:t>
      </w:r>
      <w:r>
        <w:rPr>
          <w:rFonts w:hint="eastAsia" w:ascii="仿宋_GB2312" w:hAnsi="仿宋_GB2312" w:eastAsia="仿宋_GB2312" w:cs="仿宋_GB2312"/>
          <w:color w:val="auto"/>
          <w:sz w:val="32"/>
          <w:szCs w:val="32"/>
          <w:lang w:eastAsia="zh-CN"/>
        </w:rPr>
        <w:t>收支</w:t>
      </w:r>
      <w:r>
        <w:rPr>
          <w:rFonts w:hint="eastAsia" w:ascii="仿宋_GB2312" w:hAnsi="仿宋_GB2312" w:eastAsia="仿宋_GB2312" w:cs="仿宋_GB2312"/>
          <w:color w:val="auto"/>
          <w:sz w:val="32"/>
          <w:szCs w:val="32"/>
        </w:rPr>
        <w:t>，故本表无数据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九、国有资本经营预算财政拨款支出决算表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见附件，</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没有相关</w:t>
      </w:r>
      <w:r>
        <w:rPr>
          <w:rFonts w:hint="eastAsia" w:ascii="仿宋_GB2312" w:hAnsi="仿宋_GB2312" w:eastAsia="仿宋_GB2312" w:cs="仿宋_GB2312"/>
          <w:color w:val="auto"/>
          <w:sz w:val="32"/>
          <w:szCs w:val="32"/>
          <w:lang w:eastAsia="zh-CN"/>
        </w:rPr>
        <w:t>收支</w:t>
      </w:r>
      <w:r>
        <w:rPr>
          <w:rFonts w:hint="eastAsia" w:ascii="仿宋_GB2312" w:hAnsi="仿宋_GB2312" w:eastAsia="仿宋_GB2312" w:cs="仿宋_GB2312"/>
          <w:color w:val="auto"/>
          <w:sz w:val="32"/>
          <w:szCs w:val="32"/>
        </w:rPr>
        <w:t>，故本表无数据</w:t>
      </w:r>
      <w:r>
        <w:rPr>
          <w:rFonts w:hint="eastAsia" w:ascii="仿宋_GB2312" w:hAnsi="仿宋_GB2312" w:eastAsia="仿宋_GB2312" w:cs="仿宋_GB2312"/>
          <w:color w:val="auto"/>
          <w:sz w:val="32"/>
          <w:szCs w:val="32"/>
          <w:lang w:eastAsia="zh-CN"/>
        </w:rPr>
        <w:t>。）</w:t>
      </w:r>
    </w:p>
    <w:p>
      <w:pPr>
        <w:pStyle w:val="13"/>
        <w:rPr>
          <w:rFonts w:hint="eastAsia"/>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年度部门决算情况说明</w:t>
      </w:r>
    </w:p>
    <w:p>
      <w:pPr>
        <w:spacing w:line="540" w:lineRule="exact"/>
        <w:ind w:firstLine="640"/>
        <w:rPr>
          <w:rFonts w:hint="eastAsia" w:ascii="黑体" w:hAnsi="黑体" w:eastAsia="黑体" w:cs="黑体"/>
          <w:sz w:val="32"/>
          <w:szCs w:val="32"/>
        </w:rPr>
      </w:pPr>
    </w:p>
    <w:p>
      <w:pPr>
        <w:spacing w:line="540" w:lineRule="exact"/>
        <w:ind w:firstLine="640"/>
        <w:rPr>
          <w:rFonts w:hint="eastAsia" w:ascii="黑体" w:hAnsi="黑体" w:eastAsia="黑体" w:cs="黑体"/>
          <w:color w:val="auto"/>
          <w:sz w:val="32"/>
          <w:szCs w:val="32"/>
        </w:rPr>
      </w:pPr>
      <w:r>
        <w:rPr>
          <w:rFonts w:hint="eastAsia" w:ascii="黑体" w:hAnsi="黑体" w:eastAsia="黑体" w:cs="黑体"/>
          <w:sz w:val="32"/>
          <w:szCs w:val="32"/>
        </w:rPr>
        <w:t xml:space="preserve"> </w:t>
      </w:r>
      <w:r>
        <w:rPr>
          <w:rFonts w:hint="eastAsia" w:ascii="黑体" w:hAnsi="黑体" w:eastAsia="黑体" w:cs="黑体"/>
          <w:color w:val="auto"/>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rPr>
        <w:t>1</w:t>
      </w:r>
      <w:r>
        <w:rPr>
          <w:rFonts w:hint="eastAsia" w:ascii="仿宋_GB2312" w:hAnsi="仿宋_GB2312" w:eastAsia="仿宋_GB2312" w:cs="仿宋_GB2312"/>
          <w:color w:val="auto"/>
          <w:sz w:val="32"/>
          <w:szCs w:val="32"/>
          <w:u w:val="none"/>
        </w:rPr>
        <w:t>年度收入</w:t>
      </w:r>
      <w:r>
        <w:rPr>
          <w:rFonts w:hint="eastAsia" w:ascii="仿宋_GB2312" w:hAnsi="仿宋_GB2312" w:eastAsia="仿宋_GB2312" w:cs="仿宋_GB2312"/>
          <w:color w:val="auto"/>
          <w:sz w:val="32"/>
          <w:szCs w:val="32"/>
          <w:u w:val="none"/>
          <w:lang w:val="en-US" w:eastAsia="zh-CN"/>
        </w:rPr>
        <w:t>464.68万元</w:t>
      </w:r>
      <w:r>
        <w:rPr>
          <w:rFonts w:hint="eastAsia" w:ascii="仿宋_GB2312" w:hAnsi="仿宋_GB2312" w:eastAsia="仿宋_GB2312" w:cs="仿宋_GB2312"/>
          <w:color w:val="auto"/>
          <w:sz w:val="32"/>
          <w:szCs w:val="32"/>
          <w:u w:val="none"/>
        </w:rPr>
        <w:t>，较上年决算数</w:t>
      </w:r>
      <w:r>
        <w:rPr>
          <w:rFonts w:hint="eastAsia" w:ascii="仿宋_GB2312" w:hAnsi="仿宋_GB2312" w:eastAsia="仿宋_GB2312" w:cs="仿宋_GB2312"/>
          <w:color w:val="auto"/>
          <w:sz w:val="32"/>
          <w:szCs w:val="32"/>
          <w:u w:val="none"/>
          <w:lang w:val="en-US" w:eastAsia="zh-CN"/>
        </w:rPr>
        <w:t>435.78万元</w:t>
      </w:r>
      <w:r>
        <w:rPr>
          <w:rFonts w:hint="eastAsia" w:ascii="仿宋_GB2312" w:hAnsi="仿宋_GB2312" w:eastAsia="仿宋_GB2312" w:cs="仿宋_GB2312"/>
          <w:color w:val="auto"/>
          <w:sz w:val="32"/>
          <w:szCs w:val="32"/>
          <w:u w:val="none"/>
          <w:lang w:eastAsia="zh-CN"/>
        </w:rPr>
        <w:t>增加</w:t>
      </w:r>
      <w:r>
        <w:rPr>
          <w:rFonts w:hint="eastAsia" w:ascii="仿宋_GB2312" w:hAnsi="仿宋_GB2312" w:eastAsia="仿宋_GB2312" w:cs="仿宋_GB2312"/>
          <w:color w:val="auto"/>
          <w:sz w:val="32"/>
          <w:szCs w:val="32"/>
          <w:u w:val="none"/>
          <w:lang w:val="en-US" w:eastAsia="zh-CN"/>
        </w:rPr>
        <w:t>28.9</w:t>
      </w:r>
      <w:r>
        <w:rPr>
          <w:rFonts w:hint="eastAsia" w:ascii="仿宋_GB2312" w:hAnsi="仿宋_GB2312" w:eastAsia="仿宋_GB2312" w:cs="仿宋_GB2312"/>
          <w:color w:val="auto"/>
          <w:sz w:val="32"/>
          <w:szCs w:val="32"/>
          <w:u w:val="none"/>
        </w:rPr>
        <w:t>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增加6.63</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w:t>
      </w:r>
      <w:r>
        <w:rPr>
          <w:rFonts w:hint="eastAsia" w:ascii="仿宋_GB2312" w:hAnsi="仿宋_GB2312" w:eastAsia="仿宋_GB2312" w:cs="仿宋_GB2312"/>
          <w:color w:val="auto"/>
          <w:sz w:val="32"/>
          <w:szCs w:val="32"/>
          <w:u w:val="none"/>
          <w:lang w:eastAsia="zh-CN"/>
        </w:rPr>
        <w:t>因</w:t>
      </w:r>
      <w:r>
        <w:rPr>
          <w:rFonts w:hint="eastAsia" w:ascii="仿宋_GB2312" w:hAnsi="仿宋_GB2312" w:eastAsia="仿宋_GB2312" w:cs="仿宋_GB2312"/>
          <w:color w:val="auto"/>
          <w:sz w:val="32"/>
          <w:szCs w:val="32"/>
          <w:u w:val="none"/>
        </w:rPr>
        <w:t>是由于</w:t>
      </w:r>
      <w:r>
        <w:rPr>
          <w:rFonts w:hint="eastAsia" w:ascii="仿宋_GB2312" w:hAnsi="仿宋_GB2312" w:eastAsia="仿宋_GB2312" w:cs="仿宋_GB2312"/>
          <w:color w:val="auto"/>
          <w:sz w:val="32"/>
          <w:szCs w:val="32"/>
          <w:u w:val="none"/>
          <w:lang w:eastAsia="zh-CN"/>
        </w:rPr>
        <w:t>人员</w:t>
      </w:r>
      <w:r>
        <w:rPr>
          <w:rFonts w:hint="eastAsia" w:ascii="仿宋_GB2312" w:hAnsi="仿宋_GB2312" w:eastAsia="仿宋_GB2312" w:cs="仿宋_GB2312"/>
          <w:color w:val="auto"/>
          <w:sz w:val="32"/>
          <w:szCs w:val="32"/>
          <w:u w:val="none"/>
        </w:rPr>
        <w:t>工资</w:t>
      </w:r>
      <w:r>
        <w:rPr>
          <w:rFonts w:hint="eastAsia" w:ascii="仿宋_GB2312" w:hAnsi="仿宋_GB2312" w:eastAsia="仿宋_GB2312" w:cs="仿宋_GB2312"/>
          <w:color w:val="auto"/>
          <w:sz w:val="32"/>
          <w:szCs w:val="32"/>
          <w:u w:val="none"/>
          <w:lang w:eastAsia="zh-CN"/>
        </w:rPr>
        <w:t>、奖金</w:t>
      </w:r>
      <w:r>
        <w:rPr>
          <w:rFonts w:hint="eastAsia" w:ascii="仿宋_GB2312" w:hAnsi="仿宋_GB2312" w:eastAsia="仿宋_GB2312" w:cs="仿宋_GB2312"/>
          <w:color w:val="auto"/>
          <w:sz w:val="32"/>
          <w:szCs w:val="32"/>
          <w:u w:val="none"/>
        </w:rPr>
        <w:t>增加等。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rPr>
        <w:t>1</w:t>
      </w:r>
      <w:r>
        <w:rPr>
          <w:rFonts w:hint="eastAsia" w:ascii="仿宋_GB2312" w:hAnsi="仿宋_GB2312" w:eastAsia="仿宋_GB2312" w:cs="仿宋_GB2312"/>
          <w:color w:val="auto"/>
          <w:sz w:val="32"/>
          <w:szCs w:val="32"/>
          <w:u w:val="none"/>
        </w:rPr>
        <w:t>年度支</w:t>
      </w:r>
      <w:r>
        <w:rPr>
          <w:rFonts w:hint="eastAsia" w:ascii="仿宋_GB2312" w:hAnsi="仿宋_GB2312" w:eastAsia="仿宋_GB2312" w:cs="仿宋_GB2312"/>
          <w:color w:val="auto"/>
          <w:sz w:val="32"/>
          <w:szCs w:val="32"/>
          <w:u w:val="none"/>
          <w:lang w:eastAsia="zh-CN"/>
        </w:rPr>
        <w:t>出</w:t>
      </w:r>
      <w:r>
        <w:rPr>
          <w:rFonts w:hint="eastAsia" w:ascii="仿宋_GB2312" w:hAnsi="仿宋_GB2312" w:eastAsia="仿宋_GB2312" w:cs="仿宋_GB2312"/>
          <w:color w:val="auto"/>
          <w:sz w:val="32"/>
          <w:szCs w:val="32"/>
          <w:u w:val="none"/>
          <w:lang w:val="en-US" w:eastAsia="zh-CN"/>
        </w:rPr>
        <w:t>470.25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较上年决算数</w:t>
      </w:r>
      <w:r>
        <w:rPr>
          <w:rFonts w:hint="eastAsia" w:ascii="仿宋_GB2312" w:hAnsi="仿宋_GB2312" w:eastAsia="仿宋_GB2312" w:cs="仿宋_GB2312"/>
          <w:color w:val="auto"/>
          <w:sz w:val="32"/>
          <w:szCs w:val="32"/>
          <w:u w:val="none"/>
          <w:lang w:val="en-US" w:eastAsia="zh-CN"/>
        </w:rPr>
        <w:t>428.18万元增加42.07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增加9.82</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w:t>
      </w:r>
      <w:r>
        <w:rPr>
          <w:rFonts w:hint="eastAsia" w:ascii="仿宋_GB2312" w:hAnsi="仿宋_GB2312" w:eastAsia="仿宋_GB2312" w:cs="仿宋_GB2312"/>
          <w:color w:val="auto"/>
          <w:sz w:val="32"/>
          <w:szCs w:val="32"/>
          <w:u w:val="none"/>
          <w:lang w:eastAsia="zh-CN"/>
        </w:rPr>
        <w:t>因</w:t>
      </w:r>
      <w:r>
        <w:rPr>
          <w:rFonts w:hint="eastAsia" w:ascii="仿宋_GB2312" w:hAnsi="仿宋_GB2312" w:eastAsia="仿宋_GB2312" w:cs="仿宋_GB2312"/>
          <w:color w:val="auto"/>
          <w:sz w:val="32"/>
          <w:szCs w:val="32"/>
          <w:u w:val="none"/>
        </w:rPr>
        <w:t>主要原</w:t>
      </w:r>
      <w:r>
        <w:rPr>
          <w:rFonts w:hint="eastAsia" w:ascii="仿宋_GB2312" w:hAnsi="仿宋_GB2312" w:eastAsia="仿宋_GB2312" w:cs="仿宋_GB2312"/>
          <w:color w:val="auto"/>
          <w:sz w:val="32"/>
          <w:szCs w:val="32"/>
          <w:u w:val="none"/>
          <w:lang w:eastAsia="zh-CN"/>
        </w:rPr>
        <w:t>因</w:t>
      </w:r>
      <w:r>
        <w:rPr>
          <w:rFonts w:hint="eastAsia" w:ascii="仿宋_GB2312" w:hAnsi="仿宋_GB2312" w:eastAsia="仿宋_GB2312" w:cs="仿宋_GB2312"/>
          <w:color w:val="auto"/>
          <w:sz w:val="32"/>
          <w:szCs w:val="32"/>
          <w:u w:val="none"/>
        </w:rPr>
        <w:t>是由于</w:t>
      </w:r>
      <w:r>
        <w:rPr>
          <w:rFonts w:hint="eastAsia" w:ascii="仿宋_GB2312" w:hAnsi="仿宋_GB2312" w:eastAsia="仿宋_GB2312" w:cs="仿宋_GB2312"/>
          <w:color w:val="auto"/>
          <w:sz w:val="32"/>
          <w:szCs w:val="32"/>
          <w:u w:val="none"/>
          <w:lang w:eastAsia="zh-CN"/>
        </w:rPr>
        <w:t>人员</w:t>
      </w:r>
      <w:r>
        <w:rPr>
          <w:rFonts w:hint="eastAsia" w:ascii="仿宋_GB2312" w:hAnsi="仿宋_GB2312" w:eastAsia="仿宋_GB2312" w:cs="仿宋_GB2312"/>
          <w:color w:val="auto"/>
          <w:sz w:val="32"/>
          <w:szCs w:val="32"/>
          <w:u w:val="none"/>
        </w:rPr>
        <w:t>工资</w:t>
      </w:r>
      <w:r>
        <w:rPr>
          <w:rFonts w:hint="eastAsia" w:ascii="仿宋_GB2312" w:hAnsi="仿宋_GB2312" w:eastAsia="仿宋_GB2312" w:cs="仿宋_GB2312"/>
          <w:color w:val="auto"/>
          <w:sz w:val="32"/>
          <w:szCs w:val="32"/>
          <w:u w:val="none"/>
          <w:lang w:eastAsia="zh-CN"/>
        </w:rPr>
        <w:t>、奖金</w:t>
      </w:r>
      <w:r>
        <w:rPr>
          <w:rFonts w:hint="eastAsia" w:ascii="仿宋_GB2312" w:hAnsi="仿宋_GB2312" w:eastAsia="仿宋_GB2312" w:cs="仿宋_GB2312"/>
          <w:color w:val="auto"/>
          <w:sz w:val="32"/>
          <w:szCs w:val="32"/>
          <w:u w:val="none"/>
        </w:rPr>
        <w:t>增加等。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spacing w:line="54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年度收入合计</w:t>
      </w:r>
      <w:r>
        <w:rPr>
          <w:rFonts w:hint="eastAsia" w:ascii="仿宋_GB2312" w:hAnsi="仿宋_GB2312" w:eastAsia="仿宋_GB2312" w:cs="仿宋_GB2312"/>
          <w:color w:val="auto"/>
          <w:sz w:val="32"/>
          <w:szCs w:val="32"/>
          <w:lang w:val="en-US" w:eastAsia="zh-CN"/>
        </w:rPr>
        <w:t>464.68</w:t>
      </w:r>
      <w:r>
        <w:rPr>
          <w:rFonts w:hint="eastAsia" w:ascii="仿宋_GB2312" w:hAnsi="仿宋_GB2312" w:eastAsia="仿宋_GB2312" w:cs="仿宋_GB2312"/>
          <w:color w:val="auto"/>
          <w:sz w:val="32"/>
          <w:szCs w:val="32"/>
        </w:rPr>
        <w:t>元，其中：一般公共预算财政拨款收入</w:t>
      </w:r>
      <w:r>
        <w:rPr>
          <w:rFonts w:hint="eastAsia" w:ascii="仿宋_GB2312" w:hAnsi="仿宋_GB2312" w:eastAsia="仿宋_GB2312" w:cs="仿宋_GB2312"/>
          <w:color w:val="auto"/>
          <w:sz w:val="32"/>
          <w:szCs w:val="32"/>
          <w:lang w:val="en-US" w:eastAsia="zh-CN"/>
        </w:rPr>
        <w:t>464.68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%；国有资本经营预算财政拨款收入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年度支出合计</w:t>
      </w:r>
      <w:r>
        <w:rPr>
          <w:rFonts w:hint="eastAsia" w:ascii="仿宋_GB2312" w:hAnsi="仿宋_GB2312" w:eastAsia="仿宋_GB2312" w:cs="仿宋_GB2312"/>
          <w:color w:val="auto"/>
          <w:sz w:val="32"/>
          <w:szCs w:val="32"/>
          <w:lang w:val="en-US" w:eastAsia="zh-CN"/>
        </w:rPr>
        <w:t>470.25</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411.25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87.45；项目</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12.55</w:t>
      </w:r>
      <w:r>
        <w:rPr>
          <w:rFonts w:hint="eastAsia" w:ascii="仿宋_GB2312" w:hAnsi="仿宋_GB2312" w:eastAsia="仿宋_GB2312" w:cs="仿宋_GB2312"/>
          <w:color w:val="auto"/>
          <w:sz w:val="32"/>
          <w:szCs w:val="32"/>
        </w:rPr>
        <w:t>%；上缴上级补助</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年度财政拨款收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lang w:val="en-US" w:eastAsia="zh-CN"/>
        </w:rPr>
        <w:t>464.68万元，</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上年决算数</w:t>
      </w:r>
      <w:r>
        <w:rPr>
          <w:rFonts w:hint="eastAsia" w:ascii="仿宋_GB2312" w:hAnsi="仿宋_GB2312" w:eastAsia="仿宋_GB2312" w:cs="仿宋_GB2312"/>
          <w:color w:val="auto"/>
          <w:sz w:val="32"/>
          <w:szCs w:val="32"/>
          <w:lang w:val="en-US" w:eastAsia="zh-CN"/>
        </w:rPr>
        <w:t>430.87万元</w:t>
      </w:r>
      <w:r>
        <w:rPr>
          <w:rFonts w:hint="eastAsia" w:ascii="仿宋_GB2312" w:hAnsi="仿宋_GB2312" w:eastAsia="仿宋_GB2312" w:cs="仿宋_GB2312"/>
          <w:color w:val="auto"/>
          <w:sz w:val="32"/>
          <w:szCs w:val="32"/>
        </w:rPr>
        <w:t>相比，财政拨款收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33.81</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7.85</w:t>
      </w:r>
      <w:r>
        <w:rPr>
          <w:rFonts w:hint="eastAsia" w:ascii="仿宋_GB2312" w:hAnsi="仿宋_GB2312" w:eastAsia="仿宋_GB2312" w:cs="仿宋_GB2312"/>
          <w:color w:val="auto"/>
          <w:sz w:val="32"/>
          <w:szCs w:val="32"/>
        </w:rPr>
        <w:t>%。主要原因是由于</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eastAsia="zh-CN"/>
        </w:rPr>
        <w:t>、奖金</w:t>
      </w:r>
      <w:r>
        <w:rPr>
          <w:rFonts w:hint="eastAsia" w:ascii="仿宋_GB2312" w:hAnsi="仿宋_GB2312" w:eastAsia="仿宋_GB2312" w:cs="仿宋_GB2312"/>
          <w:color w:val="auto"/>
          <w:sz w:val="32"/>
          <w:szCs w:val="32"/>
        </w:rPr>
        <w:t>增加等。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年度财政拨款</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470.25万元，</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上年决算数</w:t>
      </w:r>
      <w:r>
        <w:rPr>
          <w:rFonts w:hint="eastAsia" w:ascii="仿宋_GB2312" w:hAnsi="仿宋_GB2312" w:eastAsia="仿宋_GB2312" w:cs="仿宋_GB2312"/>
          <w:color w:val="auto"/>
          <w:sz w:val="32"/>
          <w:szCs w:val="32"/>
          <w:lang w:val="en-US" w:eastAsia="zh-CN"/>
        </w:rPr>
        <w:t>428.18万元</w:t>
      </w:r>
      <w:r>
        <w:rPr>
          <w:rFonts w:hint="eastAsia" w:ascii="仿宋_GB2312" w:hAnsi="仿宋_GB2312" w:eastAsia="仿宋_GB2312" w:cs="仿宋_GB2312"/>
          <w:color w:val="auto"/>
          <w:sz w:val="32"/>
          <w:szCs w:val="32"/>
        </w:rPr>
        <w:t>相比，财政拨款</w:t>
      </w:r>
      <w:r>
        <w:rPr>
          <w:rFonts w:hint="eastAsia" w:ascii="仿宋_GB2312" w:hAnsi="仿宋_GB2312" w:eastAsia="仿宋_GB2312" w:cs="仿宋_GB2312"/>
          <w:color w:val="auto"/>
          <w:sz w:val="32"/>
          <w:szCs w:val="32"/>
          <w:lang w:eastAsia="zh-CN"/>
        </w:rPr>
        <w:t>支出入</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42.07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8.95</w:t>
      </w:r>
      <w:r>
        <w:rPr>
          <w:rFonts w:hint="eastAsia" w:ascii="仿宋_GB2312" w:hAnsi="仿宋_GB2312" w:eastAsia="仿宋_GB2312" w:cs="仿宋_GB2312"/>
          <w:color w:val="auto"/>
          <w:sz w:val="32"/>
          <w:szCs w:val="32"/>
        </w:rPr>
        <w:t>%。主要原因是由于</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eastAsia="zh-CN"/>
        </w:rPr>
        <w:t>、奖金</w:t>
      </w:r>
      <w:r>
        <w:rPr>
          <w:rFonts w:hint="eastAsia" w:ascii="仿宋_GB2312" w:hAnsi="仿宋_GB2312" w:eastAsia="仿宋_GB2312" w:cs="仿宋_GB2312"/>
          <w:color w:val="auto"/>
          <w:sz w:val="32"/>
          <w:szCs w:val="32"/>
        </w:rPr>
        <w:t>增加等。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年度一般公共预算财政拨款支出</w:t>
      </w:r>
      <w:r>
        <w:rPr>
          <w:rFonts w:hint="eastAsia" w:ascii="仿宋_GB2312" w:hAnsi="仿宋_GB2312" w:eastAsia="仿宋_GB2312" w:cs="仿宋_GB2312"/>
          <w:color w:val="auto"/>
          <w:sz w:val="32"/>
          <w:szCs w:val="32"/>
          <w:lang w:val="en-US" w:eastAsia="zh-CN"/>
        </w:rPr>
        <w:t>470.25</w:t>
      </w:r>
      <w:r>
        <w:rPr>
          <w:rFonts w:hint="eastAsia" w:ascii="仿宋_GB2312" w:hAnsi="仿宋_GB2312" w:eastAsia="仿宋_GB2312" w:cs="仿宋_GB2312"/>
          <w:color w:val="auto"/>
          <w:sz w:val="32"/>
          <w:szCs w:val="32"/>
        </w:rPr>
        <w:t>万元，较上年决算数</w:t>
      </w:r>
      <w:r>
        <w:rPr>
          <w:rFonts w:hint="eastAsia" w:ascii="仿宋_GB2312" w:hAnsi="仿宋_GB2312" w:eastAsia="仿宋_GB2312" w:cs="仿宋_GB2312"/>
          <w:color w:val="auto"/>
          <w:sz w:val="32"/>
          <w:szCs w:val="32"/>
          <w:lang w:val="en-US" w:eastAsia="zh-CN"/>
        </w:rPr>
        <w:t>428.18</w:t>
      </w:r>
      <w:r>
        <w:rPr>
          <w:rFonts w:hint="eastAsia" w:ascii="仿宋_GB2312" w:hAnsi="仿宋_GB2312" w:eastAsia="仿宋_GB2312" w:cs="仿宋_GB2312"/>
          <w:color w:val="auto"/>
          <w:sz w:val="32"/>
          <w:szCs w:val="32"/>
        </w:rPr>
        <w:t>万元增加</w:t>
      </w:r>
      <w:r>
        <w:rPr>
          <w:rFonts w:hint="eastAsia" w:ascii="仿宋_GB2312" w:hAnsi="仿宋_GB2312" w:eastAsia="仿宋_GB2312" w:cs="仿宋_GB2312"/>
          <w:color w:val="auto"/>
          <w:sz w:val="32"/>
          <w:szCs w:val="32"/>
          <w:lang w:val="en-US" w:eastAsia="zh-CN"/>
        </w:rPr>
        <w:t>42.07万元</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8.95</w:t>
      </w:r>
      <w:r>
        <w:rPr>
          <w:rFonts w:hint="eastAsia" w:ascii="仿宋_GB2312" w:hAnsi="仿宋_GB2312" w:eastAsia="仿宋_GB2312" w:cs="仿宋_GB2312"/>
          <w:color w:val="auto"/>
          <w:sz w:val="32"/>
          <w:szCs w:val="32"/>
        </w:rPr>
        <w:t>%。主要原因是由于</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eastAsia="zh-CN"/>
        </w:rPr>
        <w:t>、奖金</w:t>
      </w:r>
      <w:r>
        <w:rPr>
          <w:rFonts w:hint="eastAsia" w:ascii="仿宋_GB2312" w:hAnsi="仿宋_GB2312" w:eastAsia="仿宋_GB2312" w:cs="仿宋_GB2312"/>
          <w:color w:val="auto"/>
          <w:sz w:val="32"/>
          <w:szCs w:val="32"/>
        </w:rPr>
        <w:t>增加等。主要用于以下几个方面：</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kern w:val="2"/>
          <w:sz w:val="32"/>
          <w:szCs w:val="32"/>
          <w:lang w:val="zh-CN"/>
        </w:rPr>
        <w:t>1.一般公共服务支出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394.43</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389.78</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98.82</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kern w:val="2"/>
          <w:sz w:val="32"/>
          <w:szCs w:val="32"/>
          <w:lang w:val="en-US" w:eastAsia="zh-CN"/>
        </w:rPr>
        <w:t>人员变动，工资福利支出减少等</w:t>
      </w:r>
      <w:r>
        <w:rPr>
          <w:rFonts w:hint="eastAsia" w:ascii="仿宋_GB2312" w:hAnsi="仿宋_GB2312" w:eastAsia="仿宋_GB2312" w:cs="仿宋_GB2312"/>
          <w:color w:val="auto"/>
          <w:kern w:val="2"/>
          <w:sz w:val="32"/>
          <w:szCs w:val="32"/>
          <w:lang w:val="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0" w:beforeAutospacing="0" w:after="0" w:afterAutospacing="0" w:line="520" w:lineRule="exact"/>
        <w:ind w:right="0" w:rightChars="0" w:firstLine="643" w:firstLineChars="200"/>
        <w:jc w:val="both"/>
        <w:textAlignment w:val="baseline"/>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.社会保障与就业支出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28.19</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 w:eastAsia="仿宋_GB2312" w:cs="仿宋"/>
          <w:sz w:val="32"/>
          <w:szCs w:val="32"/>
          <w:lang w:val="en-US" w:eastAsia="zh-CN"/>
        </w:rPr>
        <w:t>47.62</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168.93</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kern w:val="2"/>
          <w:sz w:val="32"/>
          <w:szCs w:val="32"/>
          <w:lang w:val="en-US" w:eastAsia="zh-CN"/>
        </w:rPr>
        <w:t>部分清算人员社保清算完成，补缴保险。</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11.14</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 w:eastAsia="仿宋_GB2312" w:cs="仿宋"/>
          <w:sz w:val="32"/>
          <w:szCs w:val="32"/>
          <w:lang w:val="en-US" w:eastAsia="zh-CN"/>
        </w:rPr>
        <w:t>11.58</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zh-CN"/>
        </w:rPr>
        <w:t>1</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3.</w:t>
      </w:r>
      <w:r>
        <w:rPr>
          <w:rFonts w:hint="eastAsia" w:ascii="仿宋_GB2312" w:hAnsi="仿宋_GB2312" w:eastAsia="仿宋_GB2312" w:cs="仿宋_GB2312"/>
          <w:color w:val="auto"/>
          <w:kern w:val="2"/>
          <w:sz w:val="32"/>
          <w:szCs w:val="32"/>
          <w:lang w:val="en-US" w:eastAsia="zh-CN"/>
        </w:rPr>
        <w:t>95</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kern w:val="2"/>
          <w:sz w:val="32"/>
          <w:szCs w:val="32"/>
          <w:lang w:val="en-US" w:eastAsia="zh-CN"/>
        </w:rPr>
        <w:t>部分清算人员社保清算完成，补缴医疗保险。</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19.66</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 w:eastAsia="仿宋_GB2312" w:cs="仿宋"/>
          <w:sz w:val="32"/>
          <w:szCs w:val="32"/>
          <w:lang w:val="en-US" w:eastAsia="zh-CN"/>
        </w:rPr>
        <w:t>21.28</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108.24</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kern w:val="2"/>
          <w:sz w:val="32"/>
          <w:szCs w:val="32"/>
          <w:lang w:val="en-US" w:eastAsia="zh-CN"/>
        </w:rPr>
        <w:t>人员增加，缴费数增加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六、一般公共预算财政拨款基本支出决算情况说明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baseline"/>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2021年度一般公共预算财政拨款基本支出</w:t>
      </w:r>
      <w:r>
        <w:rPr>
          <w:rFonts w:hint="eastAsia" w:ascii="仿宋_GB2312" w:hAnsi="仿宋_GB2312" w:eastAsia="仿宋_GB2312" w:cs="仿宋_GB2312"/>
          <w:color w:val="auto"/>
          <w:sz w:val="32"/>
          <w:szCs w:val="32"/>
          <w:lang w:val="en-US" w:eastAsia="zh-CN"/>
        </w:rPr>
        <w:t>411.25</w:t>
      </w:r>
      <w:r>
        <w:rPr>
          <w:rFonts w:hint="eastAsia" w:ascii="仿宋_GB2312" w:hAnsi="仿宋_GB2312" w:eastAsia="仿宋_GB2312" w:cs="仿宋_GB2312"/>
          <w:color w:val="auto"/>
          <w:sz w:val="32"/>
          <w:szCs w:val="32"/>
          <w:lang w:val="en-US"/>
        </w:rPr>
        <w:t>万元。其中：</w:t>
      </w:r>
      <w:r>
        <w:rPr>
          <w:rFonts w:hint="eastAsia" w:ascii="仿宋_GB2312" w:hAnsi="仿宋_GB2312" w:eastAsia="仿宋_GB2312" w:cs="仿宋_GB2312"/>
          <w:b/>
          <w:bCs/>
          <w:color w:val="auto"/>
          <w:sz w:val="32"/>
          <w:szCs w:val="32"/>
          <w:lang w:val="en-US"/>
        </w:rPr>
        <w:t>人员经费</w:t>
      </w:r>
      <w:r>
        <w:rPr>
          <w:rFonts w:hint="eastAsia" w:ascii="仿宋_GB2312" w:hAnsi="仿宋_GB2312" w:eastAsia="仿宋_GB2312" w:cs="仿宋_GB2312"/>
          <w:color w:val="auto"/>
          <w:sz w:val="32"/>
          <w:szCs w:val="32"/>
          <w:lang w:val="en-US" w:eastAsia="zh-CN"/>
        </w:rPr>
        <w:t>344.21</w:t>
      </w:r>
      <w:r>
        <w:rPr>
          <w:rFonts w:hint="eastAsia" w:ascii="仿宋_GB2312" w:hAnsi="仿宋_GB2312" w:eastAsia="仿宋_GB2312" w:cs="仿宋_GB2312"/>
          <w:color w:val="auto"/>
          <w:sz w:val="32"/>
          <w:szCs w:val="32"/>
          <w:lang w:val="en-US"/>
        </w:rPr>
        <w:t>万元，较上年决算数</w:t>
      </w:r>
      <w:r>
        <w:rPr>
          <w:rFonts w:hint="eastAsia" w:ascii="仿宋_GB2312" w:hAnsi="仿宋_GB2312" w:eastAsia="仿宋_GB2312" w:cs="仿宋_GB2312"/>
          <w:color w:val="auto"/>
          <w:sz w:val="32"/>
          <w:szCs w:val="32"/>
          <w:lang w:val="en-US" w:eastAsia="zh-CN"/>
        </w:rPr>
        <w:t>308.04增加36.17</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增加11.74</w:t>
      </w:r>
      <w:r>
        <w:rPr>
          <w:rFonts w:hint="eastAsia" w:ascii="仿宋_GB2312" w:hAnsi="仿宋_GB2312" w:eastAsia="仿宋_GB2312" w:cs="仿宋_GB2312"/>
          <w:color w:val="auto"/>
          <w:sz w:val="32"/>
          <w:szCs w:val="32"/>
          <w:lang w:val="en-US"/>
        </w:rPr>
        <w:t>%，主要原因是人员变动。人员经费用途主要包括基本工资、津贴补贴、奖金、其他社会保障缴费、离休费、退休费、抚恤金、生活补助、医疗费、奖励金、住房公积金、采暖补贴。</w:t>
      </w:r>
      <w:r>
        <w:rPr>
          <w:rFonts w:hint="eastAsia" w:ascii="仿宋_GB2312" w:hAnsi="仿宋_GB2312" w:eastAsia="仿宋_GB2312" w:cs="仿宋_GB2312"/>
          <w:b/>
          <w:bCs/>
          <w:color w:val="auto"/>
          <w:sz w:val="32"/>
          <w:szCs w:val="32"/>
          <w:lang w:val="en-US"/>
        </w:rPr>
        <w:t>公用经费</w:t>
      </w:r>
      <w:r>
        <w:rPr>
          <w:rFonts w:hint="eastAsia" w:ascii="仿宋_GB2312" w:hAnsi="仿宋_GB2312" w:eastAsia="仿宋_GB2312" w:cs="仿宋_GB2312"/>
          <w:color w:val="auto"/>
          <w:sz w:val="32"/>
          <w:szCs w:val="32"/>
          <w:lang w:val="en-US" w:eastAsia="zh-CN"/>
        </w:rPr>
        <w:t>67.04</w:t>
      </w:r>
      <w:r>
        <w:rPr>
          <w:rFonts w:hint="eastAsia" w:ascii="仿宋_GB2312" w:hAnsi="仿宋_GB2312" w:eastAsia="仿宋_GB2312" w:cs="仿宋_GB2312"/>
          <w:color w:val="auto"/>
          <w:sz w:val="32"/>
          <w:szCs w:val="32"/>
          <w:lang w:val="en-US"/>
        </w:rPr>
        <w:t>万元，较上年决算数</w:t>
      </w:r>
      <w:r>
        <w:rPr>
          <w:rFonts w:hint="eastAsia" w:ascii="仿宋_GB2312" w:hAnsi="仿宋_GB2312" w:eastAsia="仿宋_GB2312" w:cs="仿宋_GB2312"/>
          <w:color w:val="auto"/>
          <w:sz w:val="32"/>
          <w:szCs w:val="32"/>
          <w:lang w:val="en-US" w:eastAsia="zh-CN"/>
        </w:rPr>
        <w:t>61.04增加6</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增加9.83</w:t>
      </w:r>
      <w:r>
        <w:rPr>
          <w:rFonts w:hint="eastAsia" w:ascii="仿宋_GB2312" w:hAnsi="仿宋_GB2312" w:eastAsia="仿宋_GB2312" w:cs="仿宋_GB2312"/>
          <w:color w:val="auto"/>
          <w:sz w:val="32"/>
          <w:szCs w:val="32"/>
          <w:lang w:val="en-US"/>
        </w:rPr>
        <w:t>%</w:t>
      </w:r>
      <w:bookmarkStart w:id="1" w:name="_Toc7818"/>
      <w:bookmarkStart w:id="2" w:name="_Toc31599"/>
      <w:r>
        <w:rPr>
          <w:rFonts w:hint="eastAsia" w:ascii="仿宋_GB2312" w:hAnsi="仿宋_GB2312" w:eastAsia="仿宋_GB2312" w:cs="仿宋_GB2312"/>
          <w:color w:val="auto"/>
          <w:sz w:val="32"/>
          <w:szCs w:val="32"/>
          <w:lang w:val="en-US" w:eastAsia="zh-CN"/>
        </w:rPr>
        <w:t>。2021年度公用经费支出主要为：办公费10.26万元、印刷费0.01万元、邮电费0.21万元、取暖费14.64万元、差旅费5.65万元、租赁费0.42万元、会议费0.54万元、培训费0.52万元、公务接待费0.34万元、工会经费1.97万元、福利费2.67万元、其他交通补贴22.31万元、其他商品和服务支出7.48万元。</w:t>
      </w:r>
    </w:p>
    <w:bookmarkEnd w:id="1"/>
    <w:bookmarkEnd w:id="2"/>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七、一般公共预算财政拨款</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lang w:val="en-US"/>
        </w:rPr>
        <w:t>三公</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lang w:val="en-US"/>
        </w:rPr>
        <w:t>经费支出决算情况说明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楷体" w:hAnsi="楷体" w:eastAsia="楷体" w:cs="楷体"/>
          <w:color w:val="auto"/>
          <w:sz w:val="32"/>
          <w:szCs w:val="32"/>
          <w:lang w:val="en-US"/>
        </w:rPr>
      </w:pPr>
      <w:r>
        <w:rPr>
          <w:rFonts w:hint="eastAsia" w:ascii="楷体" w:hAnsi="楷体" w:eastAsia="楷体" w:cs="楷体"/>
          <w:b/>
          <w:color w:val="auto"/>
          <w:sz w:val="32"/>
          <w:szCs w:val="32"/>
          <w:lang w:val="en-US"/>
        </w:rPr>
        <w:t>（一）</w:t>
      </w:r>
      <w:r>
        <w:rPr>
          <w:rFonts w:hint="eastAsia" w:ascii="楷体" w:hAnsi="楷体" w:eastAsia="楷体" w:cs="楷体"/>
          <w:b/>
          <w:color w:val="auto"/>
          <w:sz w:val="32"/>
          <w:szCs w:val="32"/>
          <w:lang w:val="en-US" w:eastAsia="zh-CN"/>
        </w:rPr>
        <w:t>“</w:t>
      </w:r>
      <w:r>
        <w:rPr>
          <w:rFonts w:hint="eastAsia" w:ascii="楷体" w:hAnsi="楷体" w:eastAsia="楷体" w:cs="楷体"/>
          <w:b/>
          <w:color w:val="auto"/>
          <w:sz w:val="32"/>
          <w:szCs w:val="32"/>
          <w:lang w:val="en-US"/>
        </w:rPr>
        <w:t>三公</w:t>
      </w:r>
      <w:r>
        <w:rPr>
          <w:rFonts w:hint="eastAsia" w:ascii="楷体" w:hAnsi="楷体" w:eastAsia="楷体" w:cs="楷体"/>
          <w:b/>
          <w:color w:val="auto"/>
          <w:sz w:val="32"/>
          <w:szCs w:val="32"/>
          <w:lang w:val="en-US" w:eastAsia="zh-CN"/>
        </w:rPr>
        <w:t>”</w:t>
      </w:r>
      <w:r>
        <w:rPr>
          <w:rFonts w:hint="eastAsia" w:ascii="楷体" w:hAnsi="楷体" w:eastAsia="楷体" w:cs="楷体"/>
          <w:b/>
          <w:color w:val="auto"/>
          <w:sz w:val="32"/>
          <w:szCs w:val="32"/>
          <w:lang w:val="en-US"/>
        </w:rPr>
        <w:t>经费财政拨款支出总体情况说明</w:t>
      </w:r>
    </w:p>
    <w:p>
      <w:pPr>
        <w:numPr>
          <w:ilvl w:val="0"/>
          <w:numId w:val="0"/>
        </w:numPr>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三公</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经费决算</w:t>
      </w:r>
      <w:r>
        <w:rPr>
          <w:rFonts w:hint="eastAsia" w:ascii="仿宋_GB2312" w:hAnsi="仿宋_GB2312" w:eastAsia="仿宋_GB2312" w:cs="仿宋_GB2312"/>
          <w:color w:val="auto"/>
          <w:sz w:val="32"/>
          <w:szCs w:val="32"/>
          <w:lang w:val="en-US" w:eastAsia="zh-CN"/>
        </w:rPr>
        <w:t>0.34</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0.48</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0.14万元，下降29.17%</w:t>
      </w:r>
      <w:r>
        <w:rPr>
          <w:rFonts w:hint="eastAsia" w:ascii="仿宋_GB2312" w:hAnsi="仿宋_GB2312" w:eastAsia="仿宋_GB2312" w:cs="仿宋_GB2312"/>
          <w:color w:val="auto"/>
          <w:sz w:val="32"/>
          <w:szCs w:val="32"/>
          <w:lang w:val="zh-CN"/>
        </w:rPr>
        <w:t>，</w:t>
      </w:r>
      <w:r>
        <w:rPr>
          <w:rFonts w:hint="eastAsia" w:ascii="仿宋" w:hAnsi="仿宋" w:eastAsia="仿宋" w:cs="仿宋"/>
          <w:sz w:val="32"/>
          <w:szCs w:val="32"/>
          <w:lang w:val="en-US" w:eastAsia="zh-CN"/>
        </w:rPr>
        <w:t>决算数小于预算数的主要原因是</w:t>
      </w:r>
      <w:r>
        <w:rPr>
          <w:rFonts w:hint="eastAsia" w:ascii="仿宋_GB2312" w:eastAsia="仿宋_GB2312"/>
          <w:sz w:val="32"/>
          <w:szCs w:val="32"/>
        </w:rPr>
        <w:t>历行节约，</w:t>
      </w:r>
      <w:r>
        <w:rPr>
          <w:rFonts w:hint="eastAsia" w:ascii="仿宋" w:hAnsi="仿宋" w:eastAsia="仿宋" w:cs="仿宋"/>
          <w:sz w:val="32"/>
          <w:szCs w:val="32"/>
          <w:lang w:val="en-US" w:eastAsia="zh-CN"/>
        </w:rPr>
        <w:t>公务接待费支出减少。</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楷体" w:hAnsi="楷体" w:eastAsia="楷体" w:cs="楷体"/>
          <w:color w:val="auto"/>
          <w:sz w:val="32"/>
          <w:szCs w:val="32"/>
          <w:lang w:val="en-US"/>
        </w:rPr>
      </w:pPr>
      <w:r>
        <w:rPr>
          <w:rFonts w:hint="eastAsia" w:ascii="楷体" w:hAnsi="楷体" w:eastAsia="楷体" w:cs="楷体"/>
          <w:b/>
          <w:color w:val="auto"/>
          <w:sz w:val="32"/>
          <w:szCs w:val="32"/>
          <w:lang w:val="en-US"/>
        </w:rPr>
        <w:t>（二）</w:t>
      </w:r>
      <w:r>
        <w:rPr>
          <w:rFonts w:hint="eastAsia" w:ascii="楷体" w:hAnsi="楷体" w:eastAsia="楷体" w:cs="楷体"/>
          <w:b/>
          <w:color w:val="auto"/>
          <w:sz w:val="32"/>
          <w:szCs w:val="32"/>
          <w:lang w:val="en-US" w:eastAsia="zh-CN"/>
        </w:rPr>
        <w:t>“</w:t>
      </w:r>
      <w:r>
        <w:rPr>
          <w:rFonts w:hint="eastAsia" w:ascii="楷体" w:hAnsi="楷体" w:eastAsia="楷体" w:cs="楷体"/>
          <w:b/>
          <w:color w:val="auto"/>
          <w:sz w:val="32"/>
          <w:szCs w:val="32"/>
          <w:lang w:val="en-US"/>
        </w:rPr>
        <w:t>三公</w:t>
      </w:r>
      <w:r>
        <w:rPr>
          <w:rFonts w:hint="eastAsia" w:ascii="楷体" w:hAnsi="楷体" w:eastAsia="楷体" w:cs="楷体"/>
          <w:b/>
          <w:color w:val="auto"/>
          <w:sz w:val="32"/>
          <w:szCs w:val="32"/>
          <w:lang w:val="en-US" w:eastAsia="zh-CN"/>
        </w:rPr>
        <w:t>”</w:t>
      </w:r>
      <w:r>
        <w:rPr>
          <w:rFonts w:hint="eastAsia" w:ascii="楷体" w:hAnsi="楷体" w:eastAsia="楷体" w:cs="楷体"/>
          <w:b/>
          <w:color w:val="auto"/>
          <w:sz w:val="32"/>
          <w:szCs w:val="32"/>
          <w:lang w:val="en-US"/>
        </w:rPr>
        <w:t>经费财政拨款支出决算具体情况说明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rPr>
        <w:t>1.因公出国（境）费用</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万元，较年初预算</w:t>
      </w:r>
      <w:r>
        <w:rPr>
          <w:rFonts w:hint="default"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万元无变化，因</w:t>
      </w:r>
      <w:r>
        <w:rPr>
          <w:rFonts w:hint="eastAsia" w:ascii="仿宋_GB2312" w:hAnsi="仿宋_GB2312" w:eastAsia="仿宋_GB2312" w:cs="仿宋_GB2312"/>
          <w:color w:val="auto"/>
          <w:sz w:val="32"/>
          <w:szCs w:val="32"/>
          <w:lang w:val="en-US" w:eastAsia="zh-CN"/>
        </w:rPr>
        <w:t>本年度我单位无因公出国（境）活动。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rPr>
        <w:t>2.公务用车购置及运行维护费</w:t>
      </w:r>
      <w:r>
        <w:rPr>
          <w:rFonts w:hint="eastAsia" w:ascii="仿宋_GB2312" w:hAnsi="仿宋_GB2312" w:eastAsia="仿宋_GB2312" w:cs="仿宋_GB2312"/>
          <w:color w:val="auto"/>
          <w:sz w:val="32"/>
          <w:szCs w:val="32"/>
          <w:lang w:val="en-US"/>
        </w:rPr>
        <w:t>决算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zh-CN"/>
        </w:rPr>
        <w:t>万元，较年初预算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万元无变化，原因是车改后我单位无公务用车。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en-US"/>
        </w:rPr>
        <w:t>其中：公务用车购置费</w:t>
      </w:r>
      <w:r>
        <w:rPr>
          <w:rFonts w:hint="eastAsia" w:ascii="仿宋_GB2312" w:hAnsi="仿宋_GB2312" w:eastAsia="仿宋_GB2312" w:cs="仿宋_GB2312"/>
          <w:color w:val="auto"/>
          <w:sz w:val="32"/>
          <w:szCs w:val="32"/>
          <w:lang w:val="en-US"/>
        </w:rPr>
        <w:t>决算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zh-CN"/>
        </w:rPr>
        <w:t>元，较年初预算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zh-CN"/>
        </w:rPr>
        <w:t>万元相比无变化，我单位无无公务用车编制，故没有公务用车购置费。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rPr>
        <w:t>公务用车运行维护费</w:t>
      </w:r>
      <w:r>
        <w:rPr>
          <w:rFonts w:hint="eastAsia" w:ascii="仿宋_GB2312" w:hAnsi="仿宋_GB2312" w:eastAsia="仿宋_GB2312" w:cs="仿宋_GB2312"/>
          <w:color w:val="auto"/>
          <w:sz w:val="32"/>
          <w:szCs w:val="32"/>
          <w:lang w:val="en-US"/>
        </w:rPr>
        <w:t>决算</w:t>
      </w:r>
      <w:r>
        <w:rPr>
          <w:rFonts w:hint="default"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预</w:t>
      </w:r>
      <w:r>
        <w:rPr>
          <w:rFonts w:hint="eastAsia" w:ascii="仿宋_GB2312" w:hAnsi="仿宋_GB2312" w:eastAsia="仿宋_GB2312" w:cs="仿宋_GB2312"/>
          <w:color w:val="auto"/>
          <w:sz w:val="32"/>
          <w:szCs w:val="32"/>
          <w:lang w:val="en-US"/>
        </w:rPr>
        <w:t>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zh-CN"/>
        </w:rPr>
        <w:t>元，较年初预算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zh-CN"/>
        </w:rPr>
        <w:t>万元相比无变化，原因是车改后我单位无公务用车。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en-US"/>
        </w:rPr>
        <w:t>公务接待费</w:t>
      </w:r>
      <w:r>
        <w:rPr>
          <w:rFonts w:hint="eastAsia" w:ascii="仿宋_GB2312" w:hAnsi="仿宋_GB2312" w:eastAsia="仿宋_GB2312" w:cs="仿宋_GB2312"/>
          <w:color w:val="auto"/>
          <w:sz w:val="32"/>
          <w:szCs w:val="32"/>
          <w:lang w:val="en-US"/>
        </w:rPr>
        <w:t>决算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 xml:space="preserve">0.48 </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0.14万元，下降29</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减少的</w:t>
      </w:r>
      <w:r>
        <w:rPr>
          <w:rFonts w:hint="eastAsia" w:ascii="仿宋_GB2312" w:hAnsi="仿宋_GB2312" w:eastAsia="仿宋_GB2312" w:cs="仿宋_GB2312"/>
          <w:color w:val="auto"/>
          <w:sz w:val="32"/>
          <w:szCs w:val="32"/>
          <w:lang w:val="en-US"/>
        </w:rPr>
        <w:t>主要原因</w:t>
      </w:r>
      <w:r>
        <w:rPr>
          <w:rFonts w:hint="eastAsia" w:ascii="仿宋_GB2312" w:hAnsi="仿宋_GB2312" w:eastAsia="仿宋_GB2312" w:cs="仿宋_GB2312"/>
          <w:color w:val="auto"/>
          <w:sz w:val="32"/>
          <w:szCs w:val="32"/>
          <w:lang w:val="en-US" w:eastAsia="zh-CN"/>
        </w:rPr>
        <w:t>是严格执行政府过紧日子要求，压减“三公经费”支出，节约财政资金，公务接待减少。</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（三）</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三公</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经费财政拨款支出决算实物量情况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2021年度本部门</w:t>
      </w:r>
      <w:r>
        <w:rPr>
          <w:rFonts w:hint="eastAsia" w:ascii="仿宋_GB2312" w:hAnsi="仿宋_GB2312" w:eastAsia="仿宋_GB2312" w:cs="仿宋_GB2312"/>
          <w:b/>
          <w:color w:val="auto"/>
          <w:sz w:val="32"/>
          <w:szCs w:val="32"/>
          <w:lang w:val="en-US"/>
        </w:rPr>
        <w:t>因公出国（境）</w:t>
      </w:r>
      <w:r>
        <w:rPr>
          <w:rFonts w:hint="eastAsia" w:ascii="仿宋_GB2312" w:hAnsi="仿宋_GB2312" w:eastAsia="仿宋_GB2312" w:cs="仿宋_GB2312"/>
          <w:color w:val="auto"/>
          <w:sz w:val="32"/>
          <w:szCs w:val="32"/>
          <w:lang w:val="en-US"/>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人；</w:t>
      </w:r>
      <w:r>
        <w:rPr>
          <w:rFonts w:hint="eastAsia" w:ascii="仿宋_GB2312" w:hAnsi="仿宋_GB2312" w:eastAsia="仿宋_GB2312" w:cs="仿宋_GB2312"/>
          <w:b/>
          <w:color w:val="auto"/>
          <w:sz w:val="32"/>
          <w:szCs w:val="32"/>
          <w:lang w:val="en-US"/>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w:t>
      </w:r>
      <w:r>
        <w:rPr>
          <w:rFonts w:hint="eastAsia" w:ascii="仿宋_GB2312" w:hAnsi="仿宋_GB2312" w:eastAsia="仿宋_GB2312" w:cs="仿宋_GB2312"/>
          <w:b/>
          <w:color w:val="auto"/>
          <w:sz w:val="32"/>
          <w:szCs w:val="32"/>
          <w:lang w:val="en-US"/>
        </w:rPr>
        <w:t>公务用车保有量</w:t>
      </w:r>
      <w:r>
        <w:rPr>
          <w:rFonts w:hint="eastAsia" w:ascii="仿宋_GB2312" w:hAnsi="仿宋_GB2312" w:eastAsia="仿宋_GB2312" w:cs="仿宋_GB2312"/>
          <w:color w:val="auto"/>
          <w:sz w:val="32"/>
          <w:szCs w:val="32"/>
          <w:lang w:val="en-US"/>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w:t>
      </w:r>
      <w:r>
        <w:rPr>
          <w:rFonts w:hint="eastAsia" w:ascii="仿宋_GB2312" w:hAnsi="仿宋_GB2312" w:eastAsia="仿宋_GB2312" w:cs="仿宋_GB2312"/>
          <w:b/>
          <w:color w:val="auto"/>
          <w:sz w:val="32"/>
          <w:szCs w:val="32"/>
          <w:lang w:val="en-US"/>
        </w:rPr>
        <w:t>国内公务接</w:t>
      </w:r>
      <w:r>
        <w:rPr>
          <w:rFonts w:hint="eastAsia" w:ascii="仿宋_GB2312" w:hAnsi="仿宋_GB2312" w:eastAsia="仿宋_GB2312" w:cs="仿宋_GB2312"/>
          <w:b/>
          <w:color w:val="auto"/>
          <w:sz w:val="32"/>
          <w:szCs w:val="32"/>
          <w:lang w:val="en-US" w:eastAsia="zh-CN"/>
        </w:rPr>
        <w:t>待6</w:t>
      </w:r>
      <w:r>
        <w:rPr>
          <w:rFonts w:hint="eastAsia" w:ascii="仿宋_GB2312" w:hAnsi="仿宋_GB2312" w:eastAsia="仿宋_GB2312" w:cs="仿宋_GB2312"/>
          <w:color w:val="auto"/>
          <w:sz w:val="32"/>
          <w:szCs w:val="32"/>
          <w:lang w:val="en-US"/>
        </w:rPr>
        <w:t>批次</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lang w:val="en-US"/>
        </w:rPr>
        <w:t>人，其中：</w:t>
      </w:r>
      <w:r>
        <w:rPr>
          <w:rFonts w:hint="eastAsia" w:ascii="仿宋_GB2312" w:hAnsi="仿宋_GB2312" w:eastAsia="仿宋_GB2312" w:cs="仿宋_GB2312"/>
          <w:b/>
          <w:color w:val="auto"/>
          <w:sz w:val="32"/>
          <w:szCs w:val="32"/>
          <w:lang w:val="en-US"/>
        </w:rPr>
        <w:t>国内外事接待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人；</w:t>
      </w:r>
      <w:r>
        <w:rPr>
          <w:rFonts w:hint="eastAsia" w:ascii="仿宋_GB2312" w:hAnsi="仿宋_GB2312" w:eastAsia="仿宋_GB2312" w:cs="仿宋_GB2312"/>
          <w:b/>
          <w:color w:val="auto"/>
          <w:sz w:val="32"/>
          <w:szCs w:val="32"/>
          <w:lang w:val="en-US"/>
        </w:rPr>
        <w:t>国（境）外公务接待</w:t>
      </w:r>
      <w:r>
        <w:rPr>
          <w:rFonts w:hint="eastAsia" w:ascii="仿宋_GB2312" w:hAnsi="仿宋_GB2312" w:eastAsia="仿宋_GB2312" w:cs="仿宋_GB2312"/>
          <w:color w:val="auto"/>
          <w:sz w:val="32"/>
          <w:szCs w:val="32"/>
          <w:lang w:val="en-US"/>
        </w:rPr>
        <w:t>0批次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0人。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机关运行经费支出情况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2021年度本部门机关运行经费支出</w:t>
      </w:r>
      <w:r>
        <w:rPr>
          <w:rFonts w:hint="eastAsia" w:ascii="仿宋_GB2312" w:hAnsi="仿宋_GB2312" w:eastAsia="仿宋_GB2312" w:cs="仿宋_GB2312"/>
          <w:color w:val="auto"/>
          <w:sz w:val="32"/>
          <w:szCs w:val="32"/>
          <w:lang w:val="en-US" w:eastAsia="zh-CN"/>
        </w:rPr>
        <w:t>67.04</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w:t>
      </w:r>
      <w:r>
        <w:rPr>
          <w:rFonts w:hint="eastAsia" w:ascii="仿宋" w:hAnsi="仿宋" w:eastAsia="仿宋" w:cs="仿宋"/>
          <w:color w:val="000000"/>
          <w:sz w:val="32"/>
          <w:szCs w:val="32"/>
          <w:lang w:val="en-US" w:eastAsia="zh-CN"/>
        </w:rPr>
        <w:t>与2020</w:t>
      </w:r>
      <w:r>
        <w:rPr>
          <w:rFonts w:hint="eastAsia" w:ascii="仿宋_GB2312" w:hAnsi="仿宋_GB2312" w:eastAsia="仿宋_GB2312" w:cs="仿宋_GB2312"/>
          <w:color w:val="auto"/>
          <w:sz w:val="32"/>
          <w:szCs w:val="32"/>
          <w:lang w:val="en-US"/>
        </w:rPr>
        <w:t>年度机关运行经费支出</w:t>
      </w:r>
      <w:r>
        <w:rPr>
          <w:rFonts w:hint="eastAsia" w:ascii="仿宋_GB2312" w:hAnsi="仿宋_GB2312" w:eastAsia="仿宋_GB2312" w:cs="仿宋_GB2312"/>
          <w:color w:val="auto"/>
          <w:sz w:val="32"/>
          <w:szCs w:val="32"/>
          <w:lang w:val="en-US" w:eastAsia="zh-CN"/>
        </w:rPr>
        <w:t>61.04万元相比增加6万元上升9.83%，</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人员增加公用经费和车补增加。其中：办公费10.26万元、印刷费0.01万元、邮电费0.21万元、取暖费14.64万元、差旅费5.65万元、租赁费0.42万元、会议费0.54万元、培训费0.52万元、公务接待费0.34万元、工会经费1.97万元、福利费2.67万元、其他交通补贴22.31万元、其他商品和服务支出7.48万元。</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560" w:lineRule="exact"/>
        <w:ind w:left="0" w:leftChars="0"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政府采购支出情况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2021年我单位无政府采购。</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十、国有资产占用情况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2021年12月31日，本部门固定资产原值81.49万元，其中土地、房屋及构筑物0万元；通用设备68.39万元，单价50万元（含）以上通用设备0台（套），共有车辆0辆，其中主要领导干部用车0辆、机要通信用车0辆、应急保障用车0辆、执法执勤用车0辆，特种专业技术用车0辆，其他用车0辆；专用设备0万元，单价100万元（含）以上专用设备0台（套）；文物和陈列品0万元；图书档案3万元；家具、用具、装具及动植物13.1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无形资产0万元。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eastAsia="zh-CN"/>
        </w:rPr>
        <w:t>十一、</w:t>
      </w:r>
      <w:r>
        <w:rPr>
          <w:rFonts w:hint="eastAsia" w:ascii="黑体" w:hAnsi="黑体" w:eastAsia="黑体" w:cs="黑体"/>
          <w:color w:val="auto"/>
          <w:sz w:val="32"/>
          <w:szCs w:val="32"/>
          <w:lang w:val="en-US"/>
        </w:rPr>
        <w:t>政府性基金预算财政拨款收支决算情况说明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2021年度我单位没有相关收支</w:t>
      </w:r>
      <w:r>
        <w:rPr>
          <w:rFonts w:hint="eastAsia" w:ascii="仿宋_GB2312" w:hAnsi="仿宋_GB2312" w:eastAsia="仿宋_GB2312" w:cs="仿宋_GB2312"/>
          <w:color w:val="auto"/>
          <w:sz w:val="32"/>
          <w:szCs w:val="32"/>
          <w:lang w:val="en-US"/>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b/>
          <w:color w:val="FF0000"/>
          <w:sz w:val="32"/>
          <w:szCs w:val="32"/>
          <w:lang w:val="en-US"/>
        </w:rPr>
      </w:pPr>
      <w:r>
        <w:rPr>
          <w:rFonts w:hint="eastAsia" w:ascii="黑体" w:hAnsi="黑体" w:eastAsia="黑体" w:cs="黑体"/>
          <w:color w:val="auto"/>
          <w:sz w:val="32"/>
          <w:szCs w:val="32"/>
          <w:lang w:val="en-US"/>
        </w:rPr>
        <w:t>十二、国有资本经营预算财政拨款支出情况说明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2021年度我单位没有相关收支</w:t>
      </w:r>
      <w:r>
        <w:rPr>
          <w:rFonts w:hint="eastAsia" w:ascii="仿宋_GB2312" w:hAnsi="仿宋_GB2312" w:eastAsia="仿宋_GB2312" w:cs="仿宋_GB2312"/>
          <w:color w:val="auto"/>
          <w:sz w:val="32"/>
          <w:szCs w:val="32"/>
          <w:lang w:val="en-US"/>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十三、预算绩效情况说明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（一）预算绩效管理工作开展情况</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rPr>
        <w:t>根据预算绩效管理要求，本部门对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个项目开展了绩效自评，其中，以填报目标自评表形式开展自评</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项，涉及资金</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从评价情况来看，</w:t>
      </w:r>
      <w:r>
        <w:rPr>
          <w:rFonts w:hint="default" w:ascii="仿宋_GB2312" w:hAnsi="仿宋_GB2312" w:eastAsia="仿宋_GB2312" w:cs="仿宋_GB2312"/>
          <w:color w:val="auto"/>
          <w:sz w:val="32"/>
          <w:szCs w:val="32"/>
          <w:lang w:val="en-US" w:eastAsia="zh-CN"/>
        </w:rPr>
        <w:t>我单位根据专项绩效评定指标对各项目量化评价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将项目支出后的实际状况与项目申报的绩效目标进行对比分析。按项目实际支出和项目申报绩效目标进行对比分析</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所有项目均与批复下达相符。</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b/>
          <w:color w:val="auto"/>
          <w:sz w:val="32"/>
          <w:szCs w:val="32"/>
          <w:lang w:val="en-US"/>
        </w:rPr>
      </w:pPr>
      <w:r>
        <w:rPr>
          <w:rFonts w:hint="eastAsia" w:ascii="仿宋_GB2312" w:hAnsi="仿宋_GB2312" w:eastAsia="仿宋_GB2312" w:cs="仿宋_GB2312"/>
          <w:b/>
          <w:color w:val="auto"/>
          <w:sz w:val="32"/>
          <w:szCs w:val="32"/>
          <w:lang w:val="en-US"/>
        </w:rPr>
        <w:t>绩效自评结果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1.绩效目标自评表</w:t>
      </w:r>
    </w:p>
    <w:tbl>
      <w:tblPr>
        <w:tblStyle w:val="10"/>
        <w:tblW w:w="83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484"/>
        <w:gridCol w:w="915"/>
        <w:gridCol w:w="794"/>
        <w:gridCol w:w="655"/>
        <w:gridCol w:w="238"/>
        <w:gridCol w:w="576"/>
        <w:gridCol w:w="1016"/>
        <w:gridCol w:w="632"/>
        <w:gridCol w:w="91"/>
        <w:gridCol w:w="669"/>
        <w:gridCol w:w="606"/>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4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驻村帮扶工作经费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 w:hRule="atLeast"/>
        </w:trPr>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中共定西市委机构编制委员会办公室</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4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中共定西市委机构编制委员会办公室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7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7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上年结转资金</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1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eastAsia="zh-CN" w:bidi="ar"/>
              </w:rPr>
            </w:pPr>
            <w:r>
              <w:rPr>
                <w:rFonts w:hint="eastAsia" w:ascii="宋体" w:hAnsi="宋体" w:eastAsia="宋体" w:cs="宋体"/>
                <w:i w:val="0"/>
                <w:iCs w:val="0"/>
                <w:color w:val="000000"/>
                <w:kern w:val="0"/>
                <w:sz w:val="18"/>
                <w:szCs w:val="18"/>
                <w:u w:val="none"/>
                <w:lang w:val="en-US" w:eastAsia="zh-CN" w:bidi="ar"/>
              </w:rPr>
              <w:t>目标1：乡村振兴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目标2：巩固脱贫攻坚成果</w:t>
            </w:r>
          </w:p>
        </w:tc>
        <w:tc>
          <w:tcPr>
            <w:tcW w:w="2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eastAsia="zh-CN" w:bidi="ar"/>
              </w:rPr>
            </w:pPr>
            <w:r>
              <w:rPr>
                <w:rFonts w:hint="eastAsia" w:ascii="宋体" w:hAnsi="宋体" w:eastAsia="宋体" w:cs="宋体"/>
                <w:i w:val="0"/>
                <w:iCs w:val="0"/>
                <w:color w:val="000000"/>
                <w:kern w:val="0"/>
                <w:sz w:val="18"/>
                <w:szCs w:val="18"/>
                <w:u w:val="none"/>
                <w:lang w:val="en-US" w:eastAsia="zh-CN" w:bidi="ar"/>
              </w:rPr>
              <w:t>目标1：开展乡村振兴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目标2：全面巩固脱贫攻坚成果</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驻村干部补助人数、驻村时间</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eastAsia="zh-CN" w:bidi="ar"/>
              </w:rPr>
            </w:pPr>
            <w:r>
              <w:rPr>
                <w:rFonts w:hint="eastAsia" w:ascii="宋体" w:hAnsi="宋体" w:eastAsia="宋体" w:cs="宋体"/>
                <w:i w:val="0"/>
                <w:iCs w:val="0"/>
                <w:color w:val="000000"/>
                <w:kern w:val="0"/>
                <w:sz w:val="18"/>
                <w:szCs w:val="18"/>
                <w:u w:val="none"/>
                <w:lang w:val="en-US" w:eastAsia="zh-CN" w:bidi="ar"/>
              </w:rPr>
              <w:t>3人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出差补助保障率、巩固提升率</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差旅费报销、年度工作完成及时性</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改善村容村貌、政策宣传知晓率、巩固脱贫攻坚成果</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改善提升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改善提升</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lang w:eastAsia="zh-CN"/>
        </w:rPr>
      </w:pP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bookmarkStart w:id="3" w:name="_GoBack"/>
      <w:bookmarkEnd w:id="3"/>
      <w:r>
        <w:rPr>
          <w:rFonts w:hint="eastAsia" w:ascii="仿宋_GB2312" w:hAnsi="仿宋_GB2312" w:eastAsia="仿宋_GB2312" w:cs="仿宋_GB2312"/>
          <w:b/>
          <w:bCs/>
          <w:color w:val="auto"/>
          <w:sz w:val="32"/>
          <w:szCs w:val="32"/>
          <w:lang w:val="en-US" w:eastAsia="zh-CN"/>
        </w:rPr>
        <w:t>驻村帮扶工作经费</w:t>
      </w:r>
      <w:r>
        <w:rPr>
          <w:rFonts w:hint="eastAsia" w:ascii="仿宋_GB2312" w:hAnsi="仿宋_GB2312" w:eastAsia="仿宋_GB2312" w:cs="仿宋_GB2312"/>
          <w:b/>
          <w:bCs/>
          <w:color w:val="auto"/>
          <w:sz w:val="32"/>
          <w:szCs w:val="32"/>
          <w:lang w:val="en-US"/>
        </w:rPr>
        <w:t>项目绩效目标自评综述</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rPr>
        <w:t>根据年初设定的绩效目标，项目全年预算数为</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万元，执行数为</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%。项目总体完成情况</w:t>
      </w:r>
      <w:r>
        <w:rPr>
          <w:rFonts w:hint="eastAsia" w:ascii="仿宋_GB2312" w:hAnsi="仿宋_GB2312" w:eastAsia="仿宋_GB2312" w:cs="仿宋_GB2312"/>
          <w:sz w:val="32"/>
          <w:szCs w:val="32"/>
        </w:rPr>
        <w:t>良好，项目自评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分，自评</w:t>
      </w:r>
      <w:r>
        <w:rPr>
          <w:rFonts w:hint="eastAsia" w:ascii="仿宋_GB2312" w:hAnsi="仿宋_GB2312" w:eastAsia="仿宋_GB2312" w:cs="仿宋_GB2312"/>
          <w:sz w:val="32"/>
          <w:szCs w:val="32"/>
          <w:lang w:eastAsia="zh-CN"/>
        </w:rPr>
        <w:t>优秀</w:t>
      </w:r>
      <w:r>
        <w:rPr>
          <w:rFonts w:hint="eastAsia" w:ascii="仿宋_GB2312" w:hAnsi="仿宋_GB2312" w:eastAsia="仿宋_GB2312" w:cs="仿宋_GB2312"/>
          <w:sz w:val="32"/>
          <w:szCs w:val="32"/>
        </w:rPr>
        <w:t>等级。</w:t>
      </w:r>
      <w:r>
        <w:rPr>
          <w:rFonts w:hint="eastAsia" w:ascii="仿宋_GB2312" w:hAnsi="仿宋_GB2312" w:eastAsia="仿宋_GB2312" w:cs="仿宋_GB2312"/>
          <w:color w:val="auto"/>
          <w:sz w:val="32"/>
          <w:szCs w:val="32"/>
          <w:lang w:val="en-US"/>
        </w:rPr>
        <w:t>主要产出和效果：一是</w:t>
      </w:r>
      <w:r>
        <w:rPr>
          <w:rFonts w:hint="eastAsia" w:ascii="仿宋_GB2312" w:hAnsi="仿宋_GB2312" w:eastAsia="仿宋_GB2312" w:cs="仿宋_GB2312"/>
          <w:sz w:val="32"/>
          <w:szCs w:val="32"/>
        </w:rPr>
        <w:t>时效目标：资金到位情况参考标准</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万，完成</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rPr>
        <w:t>二是</w:t>
      </w:r>
      <w:r>
        <w:rPr>
          <w:rFonts w:hint="eastAsia" w:ascii="仿宋_GB2312" w:hAnsi="仿宋_GB2312" w:eastAsia="仿宋_GB2312" w:cs="仿宋_GB2312"/>
          <w:sz w:val="32"/>
          <w:szCs w:val="32"/>
        </w:rPr>
        <w:t>产出目标：</w:t>
      </w:r>
      <w:r>
        <w:rPr>
          <w:rFonts w:hint="eastAsia" w:ascii="仿宋_GB2312" w:hAnsi="仿宋_GB2312" w:eastAsia="仿宋_GB2312" w:cs="仿宋_GB2312"/>
          <w:sz w:val="32"/>
          <w:szCs w:val="32"/>
          <w:lang w:eastAsia="zh-CN"/>
        </w:rPr>
        <w:t>2021年1月-12月，选派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人吃住到村、工作到户全面开展驻村帮扶，全年驻村时间达到220个工作日以上（含因公出差、开会和培训），其中在村工作时间达到160天以上。三是</w:t>
      </w:r>
      <w:r>
        <w:rPr>
          <w:rFonts w:hint="eastAsia" w:ascii="仿宋_GB2312" w:hAnsi="仿宋_GB2312" w:eastAsia="仿宋_GB2312" w:cs="仿宋_GB2312"/>
          <w:sz w:val="32"/>
          <w:szCs w:val="32"/>
        </w:rPr>
        <w:t>效果目标：有效节约财政资金。</w:t>
      </w:r>
      <w:r>
        <w:rPr>
          <w:rFonts w:hint="eastAsia" w:ascii="仿宋_GB2312" w:hAnsi="仿宋_GB2312" w:eastAsia="仿宋_GB2312" w:cs="仿宋_GB2312"/>
          <w:color w:val="auto"/>
          <w:sz w:val="32"/>
          <w:szCs w:val="32"/>
          <w:lang w:val="en-US"/>
        </w:rPr>
        <w:t>发现的问题及原因，一是</w:t>
      </w:r>
      <w:r>
        <w:rPr>
          <w:rFonts w:hint="eastAsia" w:ascii="仿宋_GB2312" w:hAnsi="仿宋_GB2312" w:eastAsia="仿宋_GB2312" w:cs="仿宋_GB2312"/>
          <w:sz w:val="32"/>
          <w:szCs w:val="32"/>
          <w:lang w:val="en-US" w:eastAsia="zh-CN"/>
        </w:rPr>
        <w:t>驻村考勤制度需进一步改善；二是项目经费需节约财政资金。</w:t>
      </w:r>
      <w:r>
        <w:rPr>
          <w:rFonts w:hint="eastAsia" w:ascii="仿宋_GB2312" w:hAnsi="仿宋_GB2312" w:eastAsia="仿宋_GB2312" w:cs="仿宋_GB2312"/>
          <w:color w:val="auto"/>
          <w:sz w:val="32"/>
          <w:szCs w:val="32"/>
          <w:lang w:val="en-US"/>
        </w:rPr>
        <w:t>下一步改进措施</w:t>
      </w:r>
      <w:r>
        <w:rPr>
          <w:rFonts w:hint="eastAsia" w:ascii="仿宋_GB2312" w:hAnsi="仿宋_GB2312" w:eastAsia="仿宋_GB2312" w:cs="仿宋_GB2312"/>
          <w:color w:val="auto"/>
          <w:sz w:val="32"/>
          <w:szCs w:val="32"/>
          <w:lang w:val="en-US" w:eastAsia="zh-CN"/>
        </w:rPr>
        <w:t>，一是</w:t>
      </w:r>
      <w:r>
        <w:rPr>
          <w:rFonts w:hint="eastAsia" w:ascii="仿宋_GB2312" w:eastAsia="仿宋_GB2312" w:cs="仿宋_GB2312"/>
          <w:color w:val="363636"/>
          <w:sz w:val="32"/>
          <w:szCs w:val="32"/>
          <w:shd w:val="clear" w:color="auto" w:fill="FFFFFF"/>
          <w:lang w:bidi="ar-SA"/>
        </w:rPr>
        <w:t>严格执照年初预算安排执行，</w:t>
      </w:r>
      <w:r>
        <w:rPr>
          <w:rFonts w:hint="eastAsia" w:ascii="仿宋_GB2312" w:eastAsia="仿宋_GB2312" w:cs="仿宋"/>
          <w:color w:val="000000"/>
          <w:sz w:val="32"/>
          <w:szCs w:val="32"/>
          <w:shd w:val="clear" w:color="auto" w:fill="FFFFFF"/>
          <w:lang w:bidi="ar-SA"/>
        </w:rPr>
        <w:t>本着厉行节约，科学支出的原则，</w:t>
      </w:r>
      <w:r>
        <w:rPr>
          <w:rFonts w:hint="eastAsia" w:ascii="仿宋_GB2312" w:eastAsia="仿宋_GB2312" w:cs="仿宋"/>
          <w:color w:val="000000"/>
          <w:sz w:val="32"/>
          <w:szCs w:val="32"/>
          <w:shd w:val="clear" w:color="auto" w:fill="FFFFFF"/>
          <w:lang w:val="en-US" w:eastAsia="zh-CN" w:bidi="ar-SA"/>
        </w:rPr>
        <w:t>以</w:t>
      </w:r>
      <w:r>
        <w:rPr>
          <w:rFonts w:hint="eastAsia" w:ascii="仿宋_GB2312" w:eastAsia="仿宋_GB2312" w:cs="仿宋"/>
          <w:color w:val="000000"/>
          <w:sz w:val="32"/>
          <w:szCs w:val="32"/>
          <w:shd w:val="clear" w:color="auto" w:fill="FFFFFF"/>
          <w:lang w:bidi="ar-SA"/>
        </w:rPr>
        <w:t>事前审批，事中监督，事后检查</w:t>
      </w:r>
      <w:r>
        <w:rPr>
          <w:rFonts w:hint="eastAsia" w:ascii="仿宋_GB2312" w:eastAsia="仿宋_GB2312" w:cs="仿宋"/>
          <w:color w:val="000000"/>
          <w:sz w:val="32"/>
          <w:szCs w:val="32"/>
          <w:shd w:val="clear" w:color="auto" w:fill="FFFFFF"/>
          <w:lang w:val="en-US" w:eastAsia="zh-CN" w:bidi="ar-SA"/>
        </w:rPr>
        <w:t>的管理方式进行</w:t>
      </w:r>
      <w:r>
        <w:rPr>
          <w:rFonts w:hint="eastAsia" w:ascii="仿宋_GB2312" w:eastAsia="仿宋_GB2312" w:cs="仿宋"/>
          <w:color w:val="000000"/>
          <w:sz w:val="32"/>
          <w:szCs w:val="32"/>
          <w:shd w:val="clear" w:color="auto" w:fill="FFFFFF"/>
          <w:lang w:eastAsia="zh-CN" w:bidi="ar-SA"/>
        </w:rPr>
        <w:t>；二是</w:t>
      </w:r>
      <w:r>
        <w:rPr>
          <w:rFonts w:hint="eastAsia" w:ascii="仿宋_GB2312" w:eastAsia="仿宋_GB2312" w:cs="仿宋"/>
          <w:color w:val="000000"/>
          <w:sz w:val="32"/>
          <w:szCs w:val="32"/>
          <w:shd w:val="clear" w:color="auto" w:fill="FFFFFF"/>
          <w:lang w:bidi="ar-SA"/>
        </w:rPr>
        <w:t>进一步提高资金的使用效益，</w:t>
      </w:r>
      <w:r>
        <w:rPr>
          <w:rFonts w:hint="eastAsia" w:ascii="仿宋_GB2312" w:eastAsia="仿宋_GB2312" w:cs="仿宋_GB2312"/>
          <w:color w:val="363636"/>
          <w:sz w:val="32"/>
          <w:szCs w:val="32"/>
          <w:shd w:val="clear" w:color="auto" w:fill="FFFFFF"/>
          <w:lang w:bidi="ar-SA"/>
        </w:rPr>
        <w:t>较好的完成年度绩效目标任务</w:t>
      </w:r>
      <w:r>
        <w:rPr>
          <w:rFonts w:hint="eastAsia" w:ascii="仿宋_GB2312" w:eastAsia="仿宋_GB2312" w:cs="仿宋_GB2312"/>
          <w:color w:val="363636"/>
          <w:sz w:val="32"/>
          <w:szCs w:val="32"/>
          <w:shd w:val="clear" w:color="auto" w:fill="FFFFFF"/>
          <w:lang w:eastAsia="zh-CN" w:bidi="ar-SA"/>
        </w:rPr>
        <w:t>。</w:t>
      </w:r>
    </w:p>
    <w:p>
      <w:pPr>
        <w:keepNext w:val="0"/>
        <w:keepLines w:val="0"/>
        <w:pageBreakBefore w:val="0"/>
        <w:widowControl w:val="0"/>
        <w:numPr>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绩效自评报告</w:t>
      </w:r>
      <w:r>
        <w:rPr>
          <w:rFonts w:hint="eastAsia" w:ascii="仿宋_GB2312" w:hAnsi="仿宋_GB2312" w:eastAsia="仿宋_GB2312" w:cs="仿宋_GB2312"/>
          <w:color w:val="auto"/>
          <w:sz w:val="32"/>
          <w:szCs w:val="32"/>
          <w:lang w:val="en-US" w:eastAsia="zh-CN"/>
        </w:rPr>
        <w:t>（见附件）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321" w:firstLineChars="1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（三）重点绩效评价结果</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机构编制工作专项经费：</w:t>
      </w:r>
    </w:p>
    <w:p>
      <w:pPr>
        <w:keepNext w:val="0"/>
        <w:keepLines w:val="0"/>
        <w:pageBreakBefore w:val="0"/>
        <w:widowControl w:val="0"/>
        <w:numPr>
          <w:numId w:val="0"/>
        </w:numPr>
        <w:kinsoku/>
        <w:wordWrap/>
        <w:overflowPunct/>
        <w:topLinePunct w:val="0"/>
        <w:autoSpaceDE/>
        <w:autoSpaceDN/>
        <w:bidi w:val="0"/>
        <w:adjustRightInd/>
        <w:spacing w:before="0" w:beforeLines="0" w:after="0" w:afterLines="0" w:line="560" w:lineRule="exact"/>
        <w:ind w:left="0" w:leftChars="0" w:right="0" w:rightChars="0" w:firstLine="739" w:firstLineChars="23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总体绩效目标完成情况分析。绩效目标总体完成情况良好，项目自评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分，自评良好等级。</w:t>
      </w:r>
    </w:p>
    <w:p>
      <w:pPr>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leftChars="200" w:right="0" w:righ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各项指标完成情况分析。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时效目标：资金到位情况参考标准</w:t>
      </w:r>
      <w:r>
        <w:rPr>
          <w:rFonts w:hint="eastAsia" w:ascii="仿宋_GB2312" w:hAnsi="仿宋_GB2312" w:cs="仿宋_GB2312"/>
          <w:sz w:val="32"/>
          <w:szCs w:val="32"/>
          <w:lang w:val="en-US" w:eastAsia="zh-CN"/>
        </w:rPr>
        <w:t>50</w:t>
      </w:r>
      <w:r>
        <w:rPr>
          <w:rFonts w:hint="eastAsia" w:ascii="仿宋_GB2312" w:hAnsi="仿宋_GB2312" w:eastAsia="仿宋_GB2312" w:cs="仿宋_GB2312"/>
          <w:sz w:val="32"/>
          <w:szCs w:val="32"/>
        </w:rPr>
        <w:t>万，完成</w:t>
      </w:r>
      <w:r>
        <w:rPr>
          <w:rFonts w:hint="eastAsia" w:ascii="仿宋_GB2312" w:hAnsi="仿宋_GB2312" w:cs="仿宋_GB2312"/>
          <w:sz w:val="32"/>
          <w:szCs w:val="32"/>
          <w:lang w:val="en-US" w:eastAsia="zh-CN"/>
        </w:rPr>
        <w:t>50</w:t>
      </w:r>
      <w:r>
        <w:rPr>
          <w:rFonts w:hint="eastAsia" w:ascii="仿宋_GB2312" w:hAnsi="仿宋_GB2312" w:eastAsia="仿宋_GB2312" w:cs="仿宋_GB2312"/>
          <w:sz w:val="32"/>
          <w:szCs w:val="32"/>
        </w:rPr>
        <w:t>万，完成率100%。</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产出目标：严格按照市</w:t>
      </w:r>
      <w:r>
        <w:rPr>
          <w:rFonts w:hint="eastAsia" w:ascii="仿宋_GB2312" w:hAnsi="仿宋_GB2312" w:eastAsia="仿宋_GB2312" w:cs="仿宋_GB2312"/>
          <w:sz w:val="32"/>
          <w:szCs w:val="32"/>
          <w:lang w:eastAsia="zh-CN"/>
        </w:rPr>
        <w:t>委编办</w:t>
      </w:r>
      <w:r>
        <w:rPr>
          <w:rFonts w:hint="eastAsia" w:ascii="仿宋_GB2312" w:hAnsi="仿宋_GB2312" w:eastAsia="仿宋_GB2312" w:cs="仿宋_GB2312"/>
          <w:sz w:val="32"/>
          <w:szCs w:val="32"/>
        </w:rPr>
        <w:t>各项工作开展和正常运营的要求，</w:t>
      </w:r>
      <w:r>
        <w:rPr>
          <w:rFonts w:hint="eastAsia" w:ascii="仿宋_GB2312" w:hAnsi="仿宋_GB2312" w:eastAsia="仿宋_GB2312" w:cs="仿宋_GB2312"/>
          <w:sz w:val="32"/>
          <w:szCs w:val="32"/>
          <w:lang w:eastAsia="zh-CN"/>
        </w:rPr>
        <w:t>紧密结合</w:t>
      </w:r>
      <w:r>
        <w:rPr>
          <w:rFonts w:hint="eastAsia" w:ascii="仿宋_GB2312" w:hAnsi="仿宋_GB2312" w:eastAsia="仿宋_GB2312" w:cs="仿宋_GB2312"/>
          <w:sz w:val="32"/>
          <w:szCs w:val="32"/>
        </w:rPr>
        <w:t>年初预算推进，完成了预算目标，支出效益明显。</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效果目标：202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年市委编办项目支出绩效效益指标主要有社会效益指标（相关政策建议采纳次数、服务社会决策提升性、各单位工作运转提升性、考察调研工作保障提升性、机构设置科学合理提高性）和可持续影响指标（长效管理、部门协助、信息共享）两方面分析，均已完成年度指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其业务开展情况较往年有明显的改善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3.偏离绩效目标的原因及下一步改进措施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根据各</w:t>
      </w:r>
      <w:r>
        <w:rPr>
          <w:rFonts w:hint="eastAsia" w:ascii="仿宋_GB2312" w:hAnsi="仿宋_GB2312" w:eastAsia="仿宋_GB2312" w:cs="仿宋_GB2312"/>
          <w:sz w:val="32"/>
          <w:szCs w:val="32"/>
          <w:lang w:eastAsia="zh-CN"/>
        </w:rPr>
        <w:t>相关科室</w:t>
      </w:r>
      <w:r>
        <w:rPr>
          <w:rFonts w:hint="eastAsia" w:ascii="仿宋_GB2312" w:hAnsi="仿宋_GB2312" w:eastAsia="仿宋_GB2312" w:cs="仿宋_GB2312"/>
          <w:sz w:val="32"/>
          <w:szCs w:val="32"/>
        </w:rPr>
        <w:t>的职能、任务和发展目标，以项目为依据编制，</w:t>
      </w:r>
      <w:r>
        <w:rPr>
          <w:rFonts w:hint="eastAsia" w:ascii="仿宋_GB2312" w:hAnsi="仿宋_GB2312" w:eastAsia="仿宋_GB2312" w:cs="仿宋_GB2312"/>
          <w:sz w:val="32"/>
          <w:szCs w:val="32"/>
          <w:lang w:eastAsia="zh-CN"/>
        </w:rPr>
        <w:t>结合年初</w:t>
      </w:r>
      <w:r>
        <w:rPr>
          <w:rFonts w:hint="eastAsia" w:ascii="仿宋_GB2312" w:hAnsi="仿宋_GB2312" w:eastAsia="仿宋_GB2312" w:cs="仿宋_GB2312"/>
          <w:sz w:val="32"/>
          <w:szCs w:val="32"/>
        </w:rPr>
        <w:t>预算推进，完成预算目标</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eastAsia="zh-CN"/>
        </w:rPr>
        <w:t>相关科室</w:t>
      </w:r>
      <w:r>
        <w:rPr>
          <w:rFonts w:hint="eastAsia" w:ascii="仿宋_GB2312" w:hAnsi="仿宋_GB2312" w:eastAsia="仿宋_GB2312" w:cs="仿宋_GB2312"/>
          <w:sz w:val="32"/>
          <w:szCs w:val="32"/>
        </w:rPr>
        <w:t>协助构建好绩效管理体系，做好项目科学预算、成本科学分类核算、科学绩效评价方法，建立全过程的绩效管理机制。</w:t>
      </w:r>
      <w:r>
        <w:rPr>
          <w:rFonts w:hint="eastAsia" w:ascii="仿宋_GB2312" w:hAnsi="仿宋_GB2312" w:eastAsia="仿宋_GB2312" w:cs="仿宋_GB2312"/>
          <w:sz w:val="32"/>
          <w:szCs w:val="32"/>
          <w:lang w:val="en-US" w:eastAsia="zh-CN"/>
        </w:rPr>
        <w:t xml:space="preserve"> </w:t>
      </w:r>
    </w:p>
    <w:tbl>
      <w:tblPr>
        <w:tblStyle w:val="10"/>
        <w:tblW w:w="88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18"/>
        <w:gridCol w:w="1015"/>
        <w:gridCol w:w="340"/>
        <w:gridCol w:w="759"/>
        <w:gridCol w:w="251"/>
        <w:gridCol w:w="787"/>
        <w:gridCol w:w="1082"/>
        <w:gridCol w:w="448"/>
        <w:gridCol w:w="442"/>
        <w:gridCol w:w="499"/>
        <w:gridCol w:w="108"/>
        <w:gridCol w:w="736"/>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88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83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机构编制工作专项经费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1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中共定西市委机构编制委员会办公室</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1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中共定西市委机构编制委员会办公室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9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1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6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6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贯彻执行中央、省有关行政管理体制和机构改革以及机构编制管理的法律法规和政策；起草机构编制管理的规范性文件；统一管理全市各级党政机关和事业单位的机构编制工作。投入机构编制专项经费50万元。</w:t>
            </w:r>
          </w:p>
        </w:tc>
        <w:tc>
          <w:tcPr>
            <w:tcW w:w="46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中央、省市精神做好公安体制改革工作，事业单位改革、机构编制工作调研、机构编制督查台帐更新完善，确保各项工作按期、高质量完成。做好实名制系统管理，电子编制证升级、使用维护工作；完成法人赋码换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偏差原因分析及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机构编制工作调研完成数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≥10次</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法人赋码工作完成率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电子编制证覆盖率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调研报告形成数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法人证发放率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电子编制证使用率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调研完成及时性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法人赋码及时性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编制证维护及时性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预算执行控制情况</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促进地方经济发展</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各单位工作运转提升性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服务社会决策提升性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机构设置科学合理提高性</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部门协助</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信息共享</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党员干部满意度</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sz w:val="32"/>
          <w:szCs w:val="32"/>
          <w:lang w:val="en-US"/>
        </w:rPr>
        <w:t>第四部分  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一、财政拨款收入</w:t>
      </w:r>
      <w:r>
        <w:rPr>
          <w:rFonts w:hint="eastAsia" w:ascii="仿宋_GB2312" w:hAnsi="仿宋_GB2312" w:eastAsia="仿宋_GB2312" w:cs="仿宋_GB2312"/>
          <w:color w:val="auto"/>
          <w:sz w:val="32"/>
          <w:szCs w:val="32"/>
          <w:lang w:val="en-US"/>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二、事业收入</w:t>
      </w:r>
      <w:r>
        <w:rPr>
          <w:rFonts w:hint="eastAsia" w:ascii="仿宋_GB2312" w:hAnsi="仿宋_GB2312" w:eastAsia="仿宋_GB2312" w:cs="仿宋_GB2312"/>
          <w:color w:val="auto"/>
          <w:sz w:val="32"/>
          <w:szCs w:val="32"/>
          <w:lang w:val="en-US"/>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三、经营收入</w:t>
      </w:r>
      <w:r>
        <w:rPr>
          <w:rFonts w:hint="eastAsia" w:ascii="仿宋_GB2312" w:hAnsi="仿宋_GB2312" w:eastAsia="仿宋_GB2312" w:cs="仿宋_GB2312"/>
          <w:color w:val="auto"/>
          <w:sz w:val="32"/>
          <w:szCs w:val="32"/>
          <w:lang w:val="en-US"/>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四、其他收入</w:t>
      </w:r>
      <w:r>
        <w:rPr>
          <w:rFonts w:hint="eastAsia" w:ascii="仿宋_GB2312" w:hAnsi="仿宋_GB2312" w:eastAsia="仿宋_GB2312" w:cs="仿宋_GB2312"/>
          <w:color w:val="auto"/>
          <w:sz w:val="32"/>
          <w:szCs w:val="32"/>
          <w:lang w:val="en-US"/>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五、用事业基金弥补收支差额</w:t>
      </w:r>
      <w:r>
        <w:rPr>
          <w:rFonts w:hint="eastAsia" w:ascii="仿宋_GB2312" w:hAnsi="仿宋_GB2312" w:eastAsia="仿宋_GB2312" w:cs="仿宋_GB2312"/>
          <w:color w:val="auto"/>
          <w:sz w:val="32"/>
          <w:szCs w:val="32"/>
          <w:lang w:val="en-US"/>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六、年初结转和结余</w:t>
      </w:r>
      <w:r>
        <w:rPr>
          <w:rFonts w:hint="eastAsia" w:ascii="仿宋_GB2312" w:hAnsi="仿宋_GB2312" w:eastAsia="仿宋_GB2312" w:cs="仿宋_GB2312"/>
          <w:color w:val="auto"/>
          <w:sz w:val="32"/>
          <w:szCs w:val="32"/>
          <w:lang w:val="en-US"/>
        </w:rPr>
        <w:t>：指单位上年结转本年使用的基本支出结转、项目支出结转和结余、经营结余。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七、结余分配</w:t>
      </w:r>
      <w:r>
        <w:rPr>
          <w:rFonts w:hint="eastAsia" w:ascii="仿宋_GB2312" w:hAnsi="仿宋_GB2312" w:eastAsia="仿宋_GB2312" w:cs="仿宋_GB2312"/>
          <w:color w:val="auto"/>
          <w:sz w:val="32"/>
          <w:szCs w:val="32"/>
          <w:lang w:val="en-US"/>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八、年末结转和结余</w:t>
      </w:r>
      <w:r>
        <w:rPr>
          <w:rFonts w:hint="eastAsia" w:ascii="仿宋_GB2312" w:hAnsi="仿宋_GB2312" w:eastAsia="仿宋_GB2312" w:cs="仿宋_GB2312"/>
          <w:color w:val="auto"/>
          <w:sz w:val="32"/>
          <w:szCs w:val="32"/>
          <w:lang w:val="en-US"/>
        </w:rPr>
        <w:t>：指单位结转下年的基本支出结转、项目支出结转和结余、经营结余。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九、基本支出</w:t>
      </w:r>
      <w:r>
        <w:rPr>
          <w:rFonts w:hint="eastAsia" w:ascii="仿宋_GB2312" w:hAnsi="仿宋_GB2312" w:eastAsia="仿宋_GB2312" w:cs="仿宋_GB2312"/>
          <w:color w:val="auto"/>
          <w:sz w:val="32"/>
          <w:szCs w:val="32"/>
          <w:lang w:val="en-US"/>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十、项目支出</w:t>
      </w:r>
      <w:r>
        <w:rPr>
          <w:rFonts w:hint="eastAsia" w:ascii="仿宋_GB2312" w:hAnsi="仿宋_GB2312" w:eastAsia="仿宋_GB2312" w:cs="仿宋_GB2312"/>
          <w:color w:val="auto"/>
          <w:sz w:val="32"/>
          <w:szCs w:val="32"/>
          <w:lang w:val="en-US"/>
        </w:rPr>
        <w:t>：指在基本支出之外为完成特定行政任务和事业发展目标所发生的支出。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十一、经营支出</w:t>
      </w:r>
      <w:r>
        <w:rPr>
          <w:rFonts w:hint="eastAsia" w:ascii="仿宋_GB2312" w:hAnsi="仿宋_GB2312" w:eastAsia="仿宋_GB2312" w:cs="仿宋_GB2312"/>
          <w:color w:val="auto"/>
          <w:sz w:val="32"/>
          <w:szCs w:val="32"/>
          <w:lang w:val="en-US"/>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十二、“三公”经费</w:t>
      </w:r>
      <w:r>
        <w:rPr>
          <w:rFonts w:hint="eastAsia" w:ascii="仿宋_GB2312" w:hAnsi="仿宋_GB2312" w:eastAsia="仿宋_GB2312" w:cs="仿宋_GB2312"/>
          <w:color w:val="auto"/>
          <w:sz w:val="32"/>
          <w:szCs w:val="32"/>
          <w:lang w:val="en-US"/>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十三、机关运行经费</w:t>
      </w:r>
      <w:r>
        <w:rPr>
          <w:rFonts w:hint="eastAsia" w:ascii="仿宋_GB2312" w:hAnsi="仿宋_GB2312" w:eastAsia="仿宋_GB2312" w:cs="仿宋_GB2312"/>
          <w:color w:val="auto"/>
          <w:sz w:val="32"/>
          <w:szCs w:val="32"/>
          <w:lang w:val="en-US"/>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十四、工资福利支出</w:t>
      </w:r>
      <w:r>
        <w:rPr>
          <w:rFonts w:hint="eastAsia" w:ascii="仿宋_GB2312" w:hAnsi="仿宋_GB2312" w:eastAsia="仿宋_GB2312" w:cs="仿宋_GB2312"/>
          <w:color w:val="auto"/>
          <w:sz w:val="32"/>
          <w:szCs w:val="32"/>
          <w:lang w:val="en-US"/>
        </w:rPr>
        <w:t>（支出经济分类科目类级）：反映单位开支的在职职工和编制外长期聘用人员的各类劳动报酬，以及为上述人员缴纳的各项社会保险费等。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十五、商品和服务支出（支出经济分类科目类级）</w:t>
      </w:r>
      <w:r>
        <w:rPr>
          <w:rFonts w:hint="eastAsia" w:ascii="仿宋_GB2312" w:hAnsi="仿宋_GB2312" w:eastAsia="仿宋_GB2312" w:cs="仿宋_GB2312"/>
          <w:color w:val="auto"/>
          <w:sz w:val="32"/>
          <w:szCs w:val="32"/>
          <w:lang w:val="en-US"/>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十六、对个人和家庭的补助（支出经济分类科目类级）</w:t>
      </w:r>
      <w:r>
        <w:rPr>
          <w:rFonts w:hint="eastAsia" w:ascii="仿宋_GB2312" w:hAnsi="仿宋_GB2312" w:eastAsia="仿宋_GB2312" w:cs="仿宋_GB2312"/>
          <w:color w:val="auto"/>
          <w:sz w:val="32"/>
          <w:szCs w:val="32"/>
          <w:lang w:val="en-US"/>
        </w:rPr>
        <w:t>：反映用于对个人和家庭的补助支出。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lang w:val="en-US"/>
        </w:rPr>
        <w:t>十七、其他资本性支出（支出经济分类科目类级）</w:t>
      </w:r>
      <w:r>
        <w:rPr>
          <w:rFonts w:hint="eastAsia" w:ascii="仿宋_GB2312" w:hAnsi="仿宋_GB2312" w:eastAsia="仿宋_GB2312" w:cs="仿宋_GB2312"/>
          <w:color w:val="auto"/>
          <w:sz w:val="32"/>
          <w:szCs w:val="32"/>
          <w:lang w:val="en-US"/>
        </w:rPr>
        <w:t>：反映非各级发展与改革部门集中安排的用于购置固定资产、战略性和应急性储备、土地和无形资产，以及构建基础设施、大型修缮和财政支持企业更新改造所发生的支出。</w:t>
      </w:r>
    </w:p>
    <w:p>
      <w:pPr>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80" w:lineRule="exact"/>
        <w:ind w:firstLine="640" w:firstLineChars="200"/>
        <w:rPr>
          <w:rFonts w:hint="eastAsia" w:ascii="黑体" w:hAnsi="黑体" w:eastAsia="黑体" w:cs="黑体"/>
          <w:color w:val="000000" w:themeColor="text1"/>
          <w:sz w:val="32"/>
          <w:szCs w:val="32"/>
          <w14:textFill>
            <w14:solidFill>
              <w14:schemeClr w14:val="tx1"/>
            </w14:solidFill>
          </w14:textFill>
        </w:rPr>
      </w:pPr>
    </w:p>
    <w:p>
      <w:pPr>
        <w:spacing w:line="580" w:lineRule="exact"/>
        <w:ind w:firstLine="640" w:firstLineChars="200"/>
        <w:rPr>
          <w:rFonts w:hint="eastAsia" w:ascii="黑体" w:hAnsi="黑体" w:eastAsia="黑体" w:cs="黑体"/>
          <w:color w:val="000000" w:themeColor="text1"/>
          <w:sz w:val="32"/>
          <w:szCs w:val="32"/>
          <w14:textFill>
            <w14:solidFill>
              <w14:schemeClr w14:val="tx1"/>
            </w14:solidFill>
          </w14:textFill>
        </w:rPr>
      </w:pPr>
    </w:p>
    <w:p>
      <w:pPr>
        <w:spacing w:line="580" w:lineRule="exact"/>
        <w:ind w:firstLine="640" w:firstLineChars="200"/>
        <w:rPr>
          <w:rFonts w:hint="eastAsia" w:ascii="黑体" w:hAnsi="黑体" w:eastAsia="黑体" w:cs="黑体"/>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B528F"/>
    <w:multiLevelType w:val="singleLevel"/>
    <w:tmpl w:val="B56B528F"/>
    <w:lvl w:ilvl="0" w:tentative="0">
      <w:start w:val="2"/>
      <w:numFmt w:val="chineseCounting"/>
      <w:suff w:val="nothing"/>
      <w:lvlText w:val="（%1）"/>
      <w:lvlJc w:val="left"/>
      <w:rPr>
        <w:rFonts w:hint="eastAsia"/>
      </w:rPr>
    </w:lvl>
  </w:abstractNum>
  <w:abstractNum w:abstractNumId="1">
    <w:nsid w:val="7FD5EA66"/>
    <w:multiLevelType w:val="singleLevel"/>
    <w:tmpl w:val="7FD5EA66"/>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1ZGY2ZDNmYWY0NDBjNTQyNjhiMGIzMTU0YWZmYmQifQ=="/>
  </w:docVars>
  <w:rsids>
    <w:rsidRoot w:val="00172A27"/>
    <w:rsid w:val="00044ABB"/>
    <w:rsid w:val="00082176"/>
    <w:rsid w:val="000C53DB"/>
    <w:rsid w:val="000E2CE0"/>
    <w:rsid w:val="00126323"/>
    <w:rsid w:val="001438B1"/>
    <w:rsid w:val="001A11E1"/>
    <w:rsid w:val="001D2641"/>
    <w:rsid w:val="00202A22"/>
    <w:rsid w:val="00213595"/>
    <w:rsid w:val="00223D13"/>
    <w:rsid w:val="002262D9"/>
    <w:rsid w:val="00243087"/>
    <w:rsid w:val="00243C21"/>
    <w:rsid w:val="00301BA1"/>
    <w:rsid w:val="0033432D"/>
    <w:rsid w:val="00342F0F"/>
    <w:rsid w:val="00351A41"/>
    <w:rsid w:val="003553CC"/>
    <w:rsid w:val="00392BD5"/>
    <w:rsid w:val="003E0C4A"/>
    <w:rsid w:val="004817A2"/>
    <w:rsid w:val="00486794"/>
    <w:rsid w:val="004936BE"/>
    <w:rsid w:val="004A1B4D"/>
    <w:rsid w:val="004C1839"/>
    <w:rsid w:val="005B1485"/>
    <w:rsid w:val="005D4014"/>
    <w:rsid w:val="0061030C"/>
    <w:rsid w:val="00621CA7"/>
    <w:rsid w:val="006252C3"/>
    <w:rsid w:val="006274B5"/>
    <w:rsid w:val="00666D91"/>
    <w:rsid w:val="00697777"/>
    <w:rsid w:val="006B7900"/>
    <w:rsid w:val="006C1011"/>
    <w:rsid w:val="006C13BF"/>
    <w:rsid w:val="006E4372"/>
    <w:rsid w:val="006E6B70"/>
    <w:rsid w:val="00701B5D"/>
    <w:rsid w:val="00736065"/>
    <w:rsid w:val="00744AAC"/>
    <w:rsid w:val="007455B8"/>
    <w:rsid w:val="007B22E5"/>
    <w:rsid w:val="007C2838"/>
    <w:rsid w:val="007C3482"/>
    <w:rsid w:val="00807FF2"/>
    <w:rsid w:val="008D2691"/>
    <w:rsid w:val="0092542C"/>
    <w:rsid w:val="009B3335"/>
    <w:rsid w:val="009D667C"/>
    <w:rsid w:val="00A45238"/>
    <w:rsid w:val="00A474AB"/>
    <w:rsid w:val="00A52DC3"/>
    <w:rsid w:val="00A84929"/>
    <w:rsid w:val="00A86B0D"/>
    <w:rsid w:val="00A870D4"/>
    <w:rsid w:val="00AF12F8"/>
    <w:rsid w:val="00B36293"/>
    <w:rsid w:val="00B432EE"/>
    <w:rsid w:val="00B51C9B"/>
    <w:rsid w:val="00B61BBB"/>
    <w:rsid w:val="00B72D2F"/>
    <w:rsid w:val="00B820C9"/>
    <w:rsid w:val="00B91038"/>
    <w:rsid w:val="00BC06C4"/>
    <w:rsid w:val="00BC1EB2"/>
    <w:rsid w:val="00BE12EB"/>
    <w:rsid w:val="00BF2D9A"/>
    <w:rsid w:val="00C0521B"/>
    <w:rsid w:val="00C15985"/>
    <w:rsid w:val="00C46808"/>
    <w:rsid w:val="00CE1EDA"/>
    <w:rsid w:val="00CE67FF"/>
    <w:rsid w:val="00CE710A"/>
    <w:rsid w:val="00D17C7A"/>
    <w:rsid w:val="00D26EEF"/>
    <w:rsid w:val="00D37653"/>
    <w:rsid w:val="00D64EDD"/>
    <w:rsid w:val="00DA39CC"/>
    <w:rsid w:val="00DC2ABB"/>
    <w:rsid w:val="00DD1EFA"/>
    <w:rsid w:val="00E01DB3"/>
    <w:rsid w:val="00E37FE2"/>
    <w:rsid w:val="00E74678"/>
    <w:rsid w:val="00EC05AD"/>
    <w:rsid w:val="00EE397A"/>
    <w:rsid w:val="00EE74BA"/>
    <w:rsid w:val="00F349F4"/>
    <w:rsid w:val="00F6348B"/>
    <w:rsid w:val="00F678DE"/>
    <w:rsid w:val="00FC5F4D"/>
    <w:rsid w:val="00FE48E8"/>
    <w:rsid w:val="01852063"/>
    <w:rsid w:val="02885A75"/>
    <w:rsid w:val="02F97313"/>
    <w:rsid w:val="0333658B"/>
    <w:rsid w:val="0610250B"/>
    <w:rsid w:val="0636020E"/>
    <w:rsid w:val="07F15084"/>
    <w:rsid w:val="08597DA5"/>
    <w:rsid w:val="09121943"/>
    <w:rsid w:val="09BA2AC6"/>
    <w:rsid w:val="0B265FDE"/>
    <w:rsid w:val="0B2D6A86"/>
    <w:rsid w:val="0BC54D60"/>
    <w:rsid w:val="0C326AFC"/>
    <w:rsid w:val="0D4D145D"/>
    <w:rsid w:val="0D777055"/>
    <w:rsid w:val="0D8F1D68"/>
    <w:rsid w:val="0E8530AF"/>
    <w:rsid w:val="0F403A6D"/>
    <w:rsid w:val="0FCE751B"/>
    <w:rsid w:val="10093B1A"/>
    <w:rsid w:val="12CE699E"/>
    <w:rsid w:val="14214213"/>
    <w:rsid w:val="161E3B35"/>
    <w:rsid w:val="18D55226"/>
    <w:rsid w:val="1A2B3B14"/>
    <w:rsid w:val="1B1B69F1"/>
    <w:rsid w:val="1BE569F5"/>
    <w:rsid w:val="1C29608F"/>
    <w:rsid w:val="1C3960FE"/>
    <w:rsid w:val="1CA23671"/>
    <w:rsid w:val="1E8A0861"/>
    <w:rsid w:val="1ECC3144"/>
    <w:rsid w:val="1F745799"/>
    <w:rsid w:val="20C718F8"/>
    <w:rsid w:val="20FB5A46"/>
    <w:rsid w:val="212B02A0"/>
    <w:rsid w:val="21A2171E"/>
    <w:rsid w:val="21EA43EB"/>
    <w:rsid w:val="22656535"/>
    <w:rsid w:val="237C7300"/>
    <w:rsid w:val="241C6ACC"/>
    <w:rsid w:val="25D70BD5"/>
    <w:rsid w:val="266B0F78"/>
    <w:rsid w:val="268F4EA0"/>
    <w:rsid w:val="28BB61E6"/>
    <w:rsid w:val="29162165"/>
    <w:rsid w:val="2A4E7E11"/>
    <w:rsid w:val="2A816FBC"/>
    <w:rsid w:val="2AD56F43"/>
    <w:rsid w:val="2B2177B3"/>
    <w:rsid w:val="2B265DEC"/>
    <w:rsid w:val="2B756EC6"/>
    <w:rsid w:val="2C7D33C0"/>
    <w:rsid w:val="2CA04033"/>
    <w:rsid w:val="2D976EB8"/>
    <w:rsid w:val="2E0A6218"/>
    <w:rsid w:val="2FFF173A"/>
    <w:rsid w:val="31D04385"/>
    <w:rsid w:val="32730BD8"/>
    <w:rsid w:val="33634D15"/>
    <w:rsid w:val="34DF423C"/>
    <w:rsid w:val="34DF6CE6"/>
    <w:rsid w:val="35D45DB2"/>
    <w:rsid w:val="35E054DE"/>
    <w:rsid w:val="36064819"/>
    <w:rsid w:val="37427AD3"/>
    <w:rsid w:val="37E9569C"/>
    <w:rsid w:val="385A6839"/>
    <w:rsid w:val="389A2B75"/>
    <w:rsid w:val="3A6B536C"/>
    <w:rsid w:val="3A875E63"/>
    <w:rsid w:val="3AE70AE2"/>
    <w:rsid w:val="3DFD7181"/>
    <w:rsid w:val="3EFC4A0B"/>
    <w:rsid w:val="3F0A35CC"/>
    <w:rsid w:val="405E243A"/>
    <w:rsid w:val="40AB23A8"/>
    <w:rsid w:val="41D87942"/>
    <w:rsid w:val="41F440E2"/>
    <w:rsid w:val="426F704D"/>
    <w:rsid w:val="4356766C"/>
    <w:rsid w:val="43B14016"/>
    <w:rsid w:val="43E43706"/>
    <w:rsid w:val="43E70669"/>
    <w:rsid w:val="4618719C"/>
    <w:rsid w:val="46786298"/>
    <w:rsid w:val="494B7833"/>
    <w:rsid w:val="4B054C48"/>
    <w:rsid w:val="4E7114E0"/>
    <w:rsid w:val="4EBE3A8B"/>
    <w:rsid w:val="4F1F7A5C"/>
    <w:rsid w:val="4F7B20A3"/>
    <w:rsid w:val="4FA318A5"/>
    <w:rsid w:val="54D131B5"/>
    <w:rsid w:val="56727A24"/>
    <w:rsid w:val="56EC7CE2"/>
    <w:rsid w:val="57B16FE6"/>
    <w:rsid w:val="58763C0A"/>
    <w:rsid w:val="589B2B77"/>
    <w:rsid w:val="5D777C27"/>
    <w:rsid w:val="5D996195"/>
    <w:rsid w:val="5EC71609"/>
    <w:rsid w:val="5EE70055"/>
    <w:rsid w:val="5F814D8D"/>
    <w:rsid w:val="610062DB"/>
    <w:rsid w:val="61135BA6"/>
    <w:rsid w:val="61FB0E26"/>
    <w:rsid w:val="62167AC1"/>
    <w:rsid w:val="62275547"/>
    <w:rsid w:val="624B3FCF"/>
    <w:rsid w:val="625A4EF7"/>
    <w:rsid w:val="63951AD7"/>
    <w:rsid w:val="639A466F"/>
    <w:rsid w:val="64FF00A9"/>
    <w:rsid w:val="650D2C1F"/>
    <w:rsid w:val="658E1FB1"/>
    <w:rsid w:val="65B475F4"/>
    <w:rsid w:val="65D8675B"/>
    <w:rsid w:val="6617315D"/>
    <w:rsid w:val="67906B6E"/>
    <w:rsid w:val="67BD6CD4"/>
    <w:rsid w:val="68187CB6"/>
    <w:rsid w:val="69470DF5"/>
    <w:rsid w:val="6A686718"/>
    <w:rsid w:val="6AD46132"/>
    <w:rsid w:val="6B1E16E2"/>
    <w:rsid w:val="6B9145AA"/>
    <w:rsid w:val="6CB54F18"/>
    <w:rsid w:val="6DF332FA"/>
    <w:rsid w:val="6E63712F"/>
    <w:rsid w:val="6E9C4741"/>
    <w:rsid w:val="6F2F2FF1"/>
    <w:rsid w:val="70A408DB"/>
    <w:rsid w:val="70A628A5"/>
    <w:rsid w:val="70BF162B"/>
    <w:rsid w:val="71B83E72"/>
    <w:rsid w:val="72470491"/>
    <w:rsid w:val="74821E7E"/>
    <w:rsid w:val="74B72AE2"/>
    <w:rsid w:val="74EB12E0"/>
    <w:rsid w:val="74FD05BA"/>
    <w:rsid w:val="7615543B"/>
    <w:rsid w:val="76E67FAF"/>
    <w:rsid w:val="76F24A49"/>
    <w:rsid w:val="774366F3"/>
    <w:rsid w:val="77D41C24"/>
    <w:rsid w:val="784412D5"/>
    <w:rsid w:val="7A3D442E"/>
    <w:rsid w:val="7BF87D2D"/>
    <w:rsid w:val="7C202626"/>
    <w:rsid w:val="7C224DAA"/>
    <w:rsid w:val="7E171E91"/>
    <w:rsid w:val="7E4436FD"/>
    <w:rsid w:val="7EC302E4"/>
    <w:rsid w:val="7ED14F91"/>
    <w:rsid w:val="7F791314"/>
    <w:rsid w:val="DDE69E82"/>
    <w:rsid w:val="FD2E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200" w:firstLineChars="200"/>
    </w:pPr>
  </w:style>
  <w:style w:type="paragraph" w:styleId="3">
    <w:name w:val="Body Text Indent"/>
    <w:basedOn w:val="1"/>
    <w:uiPriority w:val="0"/>
    <w:pPr>
      <w:spacing w:after="120"/>
      <w:ind w:left="200" w:leftChars="200"/>
    </w:pPr>
  </w:style>
  <w:style w:type="paragraph" w:styleId="4">
    <w:name w:val="Body Text"/>
    <w:basedOn w:val="1"/>
    <w:next w:val="1"/>
    <w:qFormat/>
    <w:uiPriority w:val="0"/>
    <w:pPr>
      <w:spacing w:after="120" w:afterLines="0" w:afterAutospacing="0"/>
    </w:pPr>
  </w:style>
  <w:style w:type="paragraph" w:styleId="5">
    <w:name w:val="Balloon Text"/>
    <w:basedOn w:val="1"/>
    <w:link w:val="18"/>
    <w:semiHidden/>
    <w:unhideWhenUsed/>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BodyTextIndent"/>
    <w:basedOn w:val="1"/>
    <w:qFormat/>
    <w:uiPriority w:val="0"/>
    <w:pPr>
      <w:ind w:firstLine="630"/>
      <w:jc w:val="both"/>
      <w:textAlignment w:val="baseline"/>
    </w:pPr>
    <w:rPr>
      <w:rFonts w:ascii="仿宋_GB2312" w:hAnsi="Times New Roman" w:eastAsia="仿宋_GB2312"/>
      <w:kern w:val="2"/>
      <w:sz w:val="32"/>
      <w:szCs w:val="32"/>
      <w:lang w:val="en-US" w:eastAsia="zh-CN" w:bidi="ar-SA"/>
    </w:rPr>
  </w:style>
  <w:style w:type="character" w:customStyle="1" w:styleId="14">
    <w:name w:val="页眉 字符"/>
    <w:basedOn w:val="11"/>
    <w:link w:val="7"/>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批注框文本 字符"/>
    <w:basedOn w:val="11"/>
    <w:link w:val="5"/>
    <w:semiHidden/>
    <w:qFormat/>
    <w:uiPriority w:val="0"/>
    <w:rPr>
      <w:rFonts w:asciiTheme="minorHAnsi" w:hAnsiTheme="minorHAnsi" w:eastAsiaTheme="minorEastAsia" w:cstheme="minorBidi"/>
      <w:kern w:val="2"/>
      <w:sz w:val="18"/>
      <w:szCs w:val="18"/>
    </w:rPr>
  </w:style>
  <w:style w:type="character" w:customStyle="1" w:styleId="19">
    <w:name w:val="font21"/>
    <w:basedOn w:val="11"/>
    <w:qFormat/>
    <w:uiPriority w:val="0"/>
    <w:rPr>
      <w:rFonts w:hint="eastAsia" w:ascii="宋体" w:hAnsi="宋体" w:eastAsia="宋体" w:cs="宋体"/>
      <w:b/>
      <w:bCs/>
      <w:color w:val="000000"/>
      <w:sz w:val="40"/>
      <w:szCs w:val="40"/>
      <w:u w:val="none"/>
    </w:rPr>
  </w:style>
  <w:style w:type="character" w:customStyle="1" w:styleId="20">
    <w:name w:val="font61"/>
    <w:basedOn w:val="11"/>
    <w:qFormat/>
    <w:uiPriority w:val="0"/>
    <w:rPr>
      <w:rFonts w:hint="eastAsia" w:ascii="宋体" w:hAnsi="宋体" w:eastAsia="宋体" w:cs="宋体"/>
      <w:b/>
      <w:bCs/>
      <w:color w:val="000000"/>
      <w:sz w:val="40"/>
      <w:szCs w:val="4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6722</Words>
  <Characters>7306</Characters>
  <Lines>28</Lines>
  <Paragraphs>8</Paragraphs>
  <TotalTime>6</TotalTime>
  <ScaleCrop>false</ScaleCrop>
  <LinksUpToDate>false</LinksUpToDate>
  <CharactersWithSpaces>7336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2020-08-03T10:21:00Z</dcterms:created>
  <dc:creator>仙人掌也有幸福</dc:creator>
  <cp:lastModifiedBy>洁聆</cp:lastModifiedBy>
  <cp:lastPrinted>2022-11-08T15:05:00Z</cp:lastPrinted>
  <dcterms:modified xsi:type="dcterms:W3CDTF">2023-03-16T02:22:48Z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362740332DAD43CC9EFA4C41FC07D1A6</vt:lpwstr>
  </property>
</Properties>
</file>